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1B1B2">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《土方机械  液压挖掘机  质量分级规范》</w:t>
      </w:r>
    </w:p>
    <w:p w14:paraId="072AECAF">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团体标准编制说明</w:t>
      </w:r>
    </w:p>
    <w:p w14:paraId="14C6A216">
      <w:pPr>
        <w:adjustRightInd/>
        <w:snapToGrid/>
        <w:spacing w:after="0" w:line="360" w:lineRule="auto"/>
        <w:jc w:val="center"/>
        <w:rPr>
          <w:rFonts w:hint="eastAsia" w:ascii="宋体" w:hAnsi="宋体" w:eastAsia="宋体"/>
          <w:sz w:val="24"/>
          <w:szCs w:val="24"/>
        </w:rPr>
      </w:pPr>
      <w:r>
        <w:rPr>
          <w:rFonts w:hint="eastAsia" w:ascii="宋体" w:hAnsi="宋体" w:eastAsia="宋体"/>
          <w:sz w:val="24"/>
          <w:szCs w:val="24"/>
        </w:rPr>
        <w:t>（征求意见稿）</w:t>
      </w:r>
    </w:p>
    <w:p w14:paraId="2344D56D">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工作简况</w:t>
      </w:r>
    </w:p>
    <w:p w14:paraId="22BC6940">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标准任务来源</w:t>
      </w:r>
    </w:p>
    <w:p w14:paraId="6F688A6E">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2019年，中国机械工业联合会（以下简称中国机械联）发布了《土方机械  液压挖掘机  质量等级评定》（T/CMIF 54—2019）团体标准。</w:t>
      </w:r>
      <w:r>
        <w:rPr>
          <w:rFonts w:hint="eastAsia" w:ascii="宋体" w:hAnsi="宋体" w:eastAsia="宋体" w:cs="Times New Roman"/>
          <w:kern w:val="2"/>
          <w:sz w:val="28"/>
          <w:szCs w:val="28"/>
          <w:lang w:val="en-US" w:eastAsia="zh-CN"/>
        </w:rPr>
        <w:t>因考虑该标准发布日期较久，已经无法匹配当前市场环境，</w:t>
      </w:r>
      <w:r>
        <w:rPr>
          <w:rFonts w:hint="eastAsia" w:ascii="宋体" w:hAnsi="宋体" w:eastAsia="宋体" w:cs="Times New Roman"/>
          <w:kern w:val="2"/>
          <w:sz w:val="28"/>
          <w:szCs w:val="28"/>
        </w:rPr>
        <w:t>为希望更多的行业企业参与标准的制定，同时依据标准自愿参与认证工作，加强产品质量评定工作的应用推广，中国工程机械工业协会（以下简称协会）和中国机械联</w:t>
      </w:r>
      <w:r>
        <w:rPr>
          <w:rFonts w:hint="eastAsia" w:ascii="宋体" w:hAnsi="宋体" w:eastAsia="宋体" w:cs="Times New Roman"/>
          <w:kern w:val="2"/>
          <w:sz w:val="28"/>
          <w:szCs w:val="28"/>
          <w:lang w:val="en-US" w:eastAsia="zh-CN"/>
        </w:rPr>
        <w:t>双方达成共识，</w:t>
      </w:r>
      <w:r>
        <w:rPr>
          <w:rFonts w:hint="eastAsia" w:ascii="宋体" w:hAnsi="宋体" w:eastAsia="宋体" w:cs="Times New Roman"/>
          <w:kern w:val="2"/>
          <w:sz w:val="28"/>
          <w:szCs w:val="28"/>
        </w:rPr>
        <w:t>共同开展本标准的修订工作。</w:t>
      </w:r>
    </w:p>
    <w:p w14:paraId="311E8DFF">
      <w:pPr>
        <w:widowControl w:val="0"/>
        <w:adjustRightInd/>
        <w:snapToGrid/>
        <w:spacing w:after="0" w:line="360" w:lineRule="auto"/>
        <w:ind w:firstLine="560" w:firstLineChars="200"/>
        <w:jc w:val="both"/>
        <w:rPr>
          <w:rFonts w:hint="eastAsia" w:ascii="宋体" w:hAnsi="宋体" w:eastAsia="宋体" w:cs="Times New Roman"/>
          <w:kern w:val="2"/>
          <w:sz w:val="28"/>
          <w:szCs w:val="28"/>
          <w:lang w:eastAsia="zh-CN"/>
        </w:rPr>
      </w:pPr>
      <w:r>
        <w:rPr>
          <w:rFonts w:hint="eastAsia" w:ascii="宋体" w:hAnsi="宋体" w:eastAsia="宋体" w:cs="Times New Roman"/>
          <w:kern w:val="2"/>
          <w:sz w:val="28"/>
          <w:szCs w:val="28"/>
        </w:rPr>
        <w:t>2023年5月26日，协会批准立项团体标准《土方机械  液压挖掘机  质量分级规范》（计划号：JH-2023-010）。</w:t>
      </w:r>
      <w:r>
        <w:rPr>
          <w:rFonts w:hint="eastAsia" w:ascii="宋体" w:hAnsi="宋体" w:eastAsia="宋体" w:cs="Times New Roman"/>
          <w:kern w:val="2"/>
          <w:sz w:val="28"/>
          <w:szCs w:val="28"/>
          <w:lang w:val="en-US" w:eastAsia="zh-CN"/>
        </w:rPr>
        <w:t>该</w:t>
      </w:r>
      <w:r>
        <w:rPr>
          <w:rFonts w:hint="eastAsia" w:ascii="宋体" w:hAnsi="宋体" w:eastAsia="宋体" w:cs="Times New Roman"/>
          <w:kern w:val="2"/>
          <w:sz w:val="28"/>
          <w:szCs w:val="28"/>
        </w:rPr>
        <w:t>标准是协会和中国机械联双方联合开展的标准项目，今后双方将联合组织相关活动并最终以双编号形式联合发布标准</w:t>
      </w:r>
      <w:r>
        <w:rPr>
          <w:rFonts w:hint="eastAsia" w:ascii="宋体" w:hAnsi="宋体" w:eastAsia="宋体" w:cs="Times New Roman"/>
          <w:kern w:val="2"/>
          <w:sz w:val="28"/>
          <w:szCs w:val="28"/>
          <w:lang w:eastAsia="zh-CN"/>
        </w:rPr>
        <w:t>。</w:t>
      </w:r>
    </w:p>
    <w:p w14:paraId="15CB4C3A">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主要参加单位</w:t>
      </w:r>
      <w:r>
        <w:rPr>
          <w:rFonts w:hint="eastAsia" w:ascii="宋体" w:hAnsi="宋体" w:eastAsia="宋体" w:cs="Times New Roman"/>
          <w:kern w:val="2"/>
          <w:sz w:val="28"/>
          <w:szCs w:val="28"/>
          <w:lang w:eastAsia="zh-CN"/>
        </w:rPr>
        <w:t>、</w:t>
      </w:r>
      <w:r>
        <w:rPr>
          <w:rFonts w:hint="eastAsia" w:ascii="宋体" w:hAnsi="宋体" w:eastAsia="宋体" w:cs="Times New Roman"/>
          <w:kern w:val="2"/>
          <w:sz w:val="28"/>
          <w:szCs w:val="28"/>
        </w:rPr>
        <w:t>成员</w:t>
      </w:r>
      <w:r>
        <w:rPr>
          <w:rFonts w:hint="eastAsia" w:ascii="宋体" w:hAnsi="宋体" w:eastAsia="宋体" w:cs="Times New Roman"/>
          <w:kern w:val="2"/>
          <w:sz w:val="28"/>
          <w:szCs w:val="28"/>
          <w:lang w:val="en-US" w:eastAsia="zh-CN"/>
        </w:rPr>
        <w:t>及分工</w:t>
      </w:r>
    </w:p>
    <w:p w14:paraId="33381C7F">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由中国工程机械工业协会质量工作委员会组织，会同挖掘机产品生产厂家与检测单位等相关技术人员，对质量分级中涉及的关键的技术要素进行遴选，并针对各技术要素编制对应的试验方法。</w:t>
      </w:r>
    </w:p>
    <w:p w14:paraId="0AA9FC4C">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本标准主要参加单位有（包括原标准起草单位）：</w:t>
      </w:r>
    </w:p>
    <w:p w14:paraId="3640A004">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1）中机科（北京）车辆检测工程研究院有限公司</w:t>
      </w:r>
    </w:p>
    <w:p w14:paraId="684779F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2）天津工程机械研究院有限公司</w:t>
      </w:r>
    </w:p>
    <w:p w14:paraId="191EE1A2">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3）徐州徐工挖掘机械有限公司</w:t>
      </w:r>
    </w:p>
    <w:p w14:paraId="50C2C2B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4）三一重机有限公司</w:t>
      </w:r>
    </w:p>
    <w:p w14:paraId="5AB4CF8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5）山河智能装备股份有限公司</w:t>
      </w:r>
    </w:p>
    <w:p w14:paraId="658A613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6）机械工业工程机械及液压件产品质量监督检测中心（天津）</w:t>
      </w:r>
    </w:p>
    <w:p w14:paraId="1CF9B50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r>
        <w:rPr>
          <w:rFonts w:hint="eastAsia" w:asciiTheme="majorEastAsia" w:hAnsiTheme="majorEastAsia" w:eastAsiaTheme="majorEastAsia" w:cstheme="majorEastAsia"/>
          <w:kern w:val="2"/>
          <w:sz w:val="28"/>
          <w:szCs w:val="28"/>
        </w:rPr>
        <w:t>厦门市产品质量监督检验院[国家场（厂）内机动车辆质量监</w:t>
      </w:r>
    </w:p>
    <w:p w14:paraId="5CA9AE89">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bookmarkStart w:id="0" w:name="_GoBack"/>
      <w:r>
        <w:rPr>
          <w:rFonts w:hint="eastAsia" w:asciiTheme="majorEastAsia" w:hAnsiTheme="majorEastAsia" w:eastAsiaTheme="majorEastAsia" w:cstheme="majorEastAsia"/>
          <w:kern w:val="2"/>
          <w:sz w:val="28"/>
          <w:szCs w:val="28"/>
          <w:lang w:val="en-US" w:eastAsia="zh-CN"/>
        </w:rPr>
        <w:t>主要成员：李隽、范晓兰、黄晨、......。 </w:t>
      </w:r>
    </w:p>
    <w:p w14:paraId="6C15A2AC">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r>
        <w:rPr>
          <w:rFonts w:hint="eastAsia" w:asciiTheme="majorEastAsia" w:hAnsiTheme="majorEastAsia" w:eastAsiaTheme="majorEastAsia" w:cstheme="majorEastAsia"/>
          <w:kern w:val="2"/>
          <w:sz w:val="28"/>
          <w:szCs w:val="28"/>
          <w:lang w:val="en-US" w:eastAsia="zh-CN"/>
        </w:rPr>
        <w:t>具体工作：李隽主持全面协调工作，负责对各阶段标准的审核；范晓兰本文件主要执笔人，负责起草与编制工作；黄晨负责对各方面的意见及建议进行归纳、整理；......。</w:t>
      </w:r>
      <w:bookmarkEnd w:id="0"/>
    </w:p>
    <w:p w14:paraId="4EA9F4B6">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关于标准起草单位后续还会继续征集。</w:t>
      </w:r>
    </w:p>
    <w:p w14:paraId="4B0EA65D">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工作简要过程</w:t>
      </w:r>
    </w:p>
    <w:p w14:paraId="0C11178E">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2023年6月，协会组织召开了标准视频启动会，来自原标准起草单位、行业国内外生产厂家、研究院所、检测认证机构等34家单位近60名代表参会。各与会代表分别从不同角度针对产品特点，结合行业实际现状对标准中涉及的框架结构及技术内容进行了交流和讨论，并提出了合理化建议。</w:t>
      </w:r>
    </w:p>
    <w:p w14:paraId="06C146EE">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2）2023年6月，协会启动了本标准的参加编制单位地征集工作。</w:t>
      </w:r>
    </w:p>
    <w:p w14:paraId="3FCACF9C">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3）2024年12月，协会对原有草案向行业内企业征求修改意见，并收集到三家企业反馈的</w:t>
      </w:r>
      <w:r>
        <w:rPr>
          <w:rFonts w:hint="eastAsia" w:asciiTheme="majorEastAsia" w:hAnsiTheme="majorEastAsia" w:eastAsiaTheme="majorEastAsia" w:cstheme="majorEastAsia"/>
          <w:kern w:val="2"/>
          <w:sz w:val="28"/>
          <w:szCs w:val="28"/>
          <w:lang w:val="en-US" w:eastAsia="zh-CN"/>
        </w:rPr>
        <w:t>2</w:t>
      </w:r>
      <w:r>
        <w:rPr>
          <w:rFonts w:hint="eastAsia" w:asciiTheme="majorEastAsia" w:hAnsiTheme="majorEastAsia" w:eastAsiaTheme="majorEastAsia" w:cstheme="majorEastAsia"/>
          <w:kern w:val="2"/>
          <w:sz w:val="28"/>
          <w:szCs w:val="28"/>
        </w:rPr>
        <w:t>0余项修改意见。</w:t>
      </w:r>
    </w:p>
    <w:p w14:paraId="628B618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4）2025年5月，结合收集的意见，起草工作组综合研判，决定对原有草案进行结构性调整。</w:t>
      </w:r>
    </w:p>
    <w:p w14:paraId="182920F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2025年6月，召开标准技术要素讨论会，会议确定了选取的技术要素的基本原则。区别于原有的技术要素，新确定的技术要素删除了一些非必要的要素，保留和增加了与产品质量、作业质量等质量评价关联度最大的技术指标，对应修改了试验方法。</w:t>
      </w:r>
    </w:p>
    <w:p w14:paraId="7CE21138">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6）2025年8月，起草工作组完成了标准征求意见稿的起草工作。</w:t>
      </w:r>
    </w:p>
    <w:p w14:paraId="07BB96B8">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标准编制原则和</w:t>
      </w:r>
      <w:r>
        <w:rPr>
          <w:rFonts w:hint="eastAsia" w:ascii="宋体" w:hAnsi="宋体" w:eastAsia="宋体"/>
          <w:b/>
          <w:sz w:val="28"/>
          <w:szCs w:val="28"/>
          <w:lang w:val="en-US" w:eastAsia="zh-CN"/>
        </w:rPr>
        <w:t>解决的主要问题</w:t>
      </w:r>
    </w:p>
    <w:p w14:paraId="4291D09C">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1、编制原则</w:t>
      </w:r>
    </w:p>
    <w:p w14:paraId="6EFCBA40">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 本标准编制参照GB/T 1.1—2020《标准化工作导则 第1部分：标准化文件的结构和起草规则》规定的编写格式和要求编写。</w:t>
      </w:r>
    </w:p>
    <w:p w14:paraId="70821153">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2）本标准的内容应考虑到与相关法规和标准的协调一致，标准中的技术指标科学合理且具有可行性。</w:t>
      </w:r>
    </w:p>
    <w:p w14:paraId="48DF8288">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3）本标准的编制具有可操作性、适用性，能很好的贯彻实施。</w:t>
      </w:r>
    </w:p>
    <w:p w14:paraId="71FD807C">
      <w:pPr>
        <w:widowControl w:val="0"/>
        <w:adjustRightInd/>
        <w:snapToGrid/>
        <w:spacing w:after="0" w:line="360" w:lineRule="auto"/>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2、与原标准的主要差异</w:t>
      </w:r>
    </w:p>
    <w:p w14:paraId="023C4ED9">
      <w:pPr>
        <w:pStyle w:val="15"/>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规定了液压挖掘机的质量分级原则、质量等级、分级评价指标，描述了抽样方法和试验方法，确立了质量等级评定规则。</w:t>
      </w:r>
    </w:p>
    <w:p w14:paraId="5609D847">
      <w:pPr>
        <w:pStyle w:val="15"/>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代替T/CMIF 54—2019《土方机械  液压挖掘机  质量等级评定》。本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与T/CMIF 54—2019相比，除编辑性修改外主要技术变化如下：</w:t>
      </w:r>
    </w:p>
    <w:p w14:paraId="6870275C">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新增了质量分级原则；</w:t>
      </w:r>
    </w:p>
    <w:p w14:paraId="67317030">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新增了质量等级；</w:t>
      </w:r>
    </w:p>
    <w:p w14:paraId="2DCE0305">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修改了质量等级评定原则，重新编写了分级评价指标，将各指标合并至一张分级指标表；</w:t>
      </w:r>
    </w:p>
    <w:p w14:paraId="7CF1AC0E">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新增了抽样要求；</w:t>
      </w:r>
    </w:p>
    <w:p w14:paraId="7B67BFCC">
      <w:pPr>
        <w:pStyle w:val="15"/>
        <w:keepNext w:val="0"/>
        <w:keepLines w:val="0"/>
        <w:pageBreakBefore w:val="0"/>
        <w:widowControl/>
        <w:numPr>
          <w:ilvl w:val="0"/>
          <w:numId w:val="3"/>
        </w:numPr>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新增了质量等级评定原则。</w:t>
      </w:r>
    </w:p>
    <w:p w14:paraId="419F6C1B">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lang w:val="en-US" w:eastAsia="zh-CN"/>
        </w:rPr>
        <w:t>3</w:t>
      </w:r>
      <w:r>
        <w:rPr>
          <w:rFonts w:hint="eastAsia" w:ascii="宋体" w:hAnsi="宋体" w:eastAsia="宋体" w:cs="Times New Roman"/>
          <w:kern w:val="2"/>
          <w:sz w:val="28"/>
          <w:szCs w:val="28"/>
        </w:rPr>
        <w:t>、主要内容</w:t>
      </w:r>
    </w:p>
    <w:p w14:paraId="1C031357">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按照</w:t>
      </w:r>
      <w:r>
        <w:rPr>
          <w:rFonts w:hint="eastAsia" w:ascii="宋体" w:hAnsi="宋体" w:eastAsia="宋体" w:cs="Times New Roman"/>
          <w:kern w:val="2"/>
          <w:sz w:val="28"/>
          <w:szCs w:val="28"/>
          <w:lang w:val="en-US" w:eastAsia="zh-CN"/>
        </w:rPr>
        <w:t>液压</w:t>
      </w:r>
      <w:r>
        <w:rPr>
          <w:rFonts w:hint="eastAsia" w:ascii="宋体" w:hAnsi="宋体" w:eastAsia="宋体" w:cs="Times New Roman"/>
          <w:kern w:val="2"/>
          <w:sz w:val="28"/>
          <w:szCs w:val="28"/>
        </w:rPr>
        <w:t>挖掘机质量相关的要求，选取了基础指标、与质量密切相关的技术指标和用户最关心的指标，共计16项评价指标，其中10项为核心评价指标。具体评价指标见表1。</w:t>
      </w:r>
    </w:p>
    <w:p w14:paraId="3D09A7AE">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表1 分级指标</w:t>
      </w:r>
    </w:p>
    <w:tbl>
      <w:tblPr>
        <w:tblStyle w:val="14"/>
        <w:tblW w:w="891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30"/>
        <w:gridCol w:w="584"/>
        <w:gridCol w:w="736"/>
        <w:gridCol w:w="1484"/>
        <w:gridCol w:w="2030"/>
        <w:gridCol w:w="1774"/>
        <w:gridCol w:w="1776"/>
      </w:tblGrid>
      <w:tr w14:paraId="198018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0" w:hRule="atLeast"/>
        </w:trPr>
        <w:tc>
          <w:tcPr>
            <w:tcW w:w="530" w:type="dxa"/>
            <w:vMerge w:val="restart"/>
            <w:vAlign w:val="center"/>
          </w:tcPr>
          <w:p w14:paraId="36728518">
            <w:pPr>
              <w:pStyle w:val="13"/>
              <w:spacing w:before="290" w:line="221" w:lineRule="auto"/>
              <w:ind w:left="40"/>
              <w:jc w:val="center"/>
              <w:rPr>
                <w:rFonts w:hint="eastAsia"/>
                <w:sz w:val="18"/>
                <w:szCs w:val="18"/>
              </w:rPr>
            </w:pPr>
            <w:r>
              <w:rPr>
                <w:rFonts w:hint="eastAsia"/>
                <w:spacing w:val="-2"/>
                <w:sz w:val="18"/>
                <w:szCs w:val="18"/>
              </w:rPr>
              <w:t>序号</w:t>
            </w:r>
          </w:p>
        </w:tc>
        <w:tc>
          <w:tcPr>
            <w:tcW w:w="2804" w:type="dxa"/>
            <w:gridSpan w:val="3"/>
            <w:vMerge w:val="restart"/>
            <w:vAlign w:val="center"/>
          </w:tcPr>
          <w:p w14:paraId="6268BD1D">
            <w:pPr>
              <w:pStyle w:val="13"/>
              <w:spacing w:after="0"/>
              <w:jc w:val="center"/>
              <w:rPr>
                <w:rFonts w:hint="eastAsia"/>
                <w:sz w:val="18"/>
                <w:szCs w:val="18"/>
              </w:rPr>
            </w:pPr>
            <w:r>
              <w:rPr>
                <w:rFonts w:hint="eastAsia"/>
                <w:spacing w:val="-2"/>
                <w:sz w:val="18"/>
                <w:szCs w:val="18"/>
              </w:rPr>
              <w:t>评价指标</w:t>
            </w:r>
          </w:p>
        </w:tc>
        <w:tc>
          <w:tcPr>
            <w:tcW w:w="5580" w:type="dxa"/>
            <w:gridSpan w:val="3"/>
            <w:vAlign w:val="center"/>
          </w:tcPr>
          <w:p w14:paraId="672BE1BE">
            <w:pPr>
              <w:pStyle w:val="13"/>
              <w:spacing w:after="0"/>
              <w:jc w:val="center"/>
              <w:rPr>
                <w:rFonts w:hint="eastAsia"/>
                <w:sz w:val="18"/>
                <w:szCs w:val="18"/>
              </w:rPr>
            </w:pPr>
            <w:r>
              <w:rPr>
                <w:rFonts w:hint="eastAsia"/>
                <w:spacing w:val="-2"/>
                <w:sz w:val="18"/>
                <w:szCs w:val="18"/>
              </w:rPr>
              <w:t>指标水平评价</w:t>
            </w:r>
          </w:p>
        </w:tc>
      </w:tr>
      <w:tr w14:paraId="557036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1" w:hRule="atLeast"/>
        </w:trPr>
        <w:tc>
          <w:tcPr>
            <w:tcW w:w="530" w:type="dxa"/>
            <w:vMerge w:val="continue"/>
            <w:tcBorders>
              <w:bottom w:val="single" w:color="auto" w:sz="12" w:space="0"/>
            </w:tcBorders>
            <w:vAlign w:val="center"/>
          </w:tcPr>
          <w:p w14:paraId="623AD3F4">
            <w:pPr>
              <w:jc w:val="center"/>
              <w:rPr>
                <w:rFonts w:hint="eastAsia" w:ascii="宋体" w:hAnsi="宋体" w:eastAsia="宋体" w:cs="宋体"/>
                <w:sz w:val="18"/>
                <w:szCs w:val="18"/>
              </w:rPr>
            </w:pPr>
          </w:p>
        </w:tc>
        <w:tc>
          <w:tcPr>
            <w:tcW w:w="2804" w:type="dxa"/>
            <w:gridSpan w:val="3"/>
            <w:vMerge w:val="continue"/>
            <w:tcBorders>
              <w:bottom w:val="single" w:color="auto" w:sz="12" w:space="0"/>
            </w:tcBorders>
            <w:vAlign w:val="center"/>
          </w:tcPr>
          <w:p w14:paraId="05E225B7">
            <w:pPr>
              <w:jc w:val="center"/>
              <w:rPr>
                <w:rFonts w:hint="eastAsia" w:ascii="宋体" w:hAnsi="宋体" w:eastAsia="宋体" w:cs="宋体"/>
                <w:sz w:val="18"/>
                <w:szCs w:val="18"/>
              </w:rPr>
            </w:pPr>
          </w:p>
        </w:tc>
        <w:tc>
          <w:tcPr>
            <w:tcW w:w="2030" w:type="dxa"/>
            <w:tcBorders>
              <w:bottom w:val="single" w:color="auto" w:sz="12" w:space="0"/>
            </w:tcBorders>
            <w:vAlign w:val="center"/>
          </w:tcPr>
          <w:p w14:paraId="4FCD8A70">
            <w:pPr>
              <w:pStyle w:val="13"/>
              <w:spacing w:after="0"/>
              <w:jc w:val="center"/>
              <w:rPr>
                <w:rFonts w:hint="eastAsia"/>
                <w:spacing w:val="-2"/>
                <w:sz w:val="18"/>
                <w:szCs w:val="18"/>
                <w:lang w:eastAsia="zh-CN"/>
              </w:rPr>
            </w:pPr>
            <w:r>
              <w:rPr>
                <w:rFonts w:hint="eastAsia"/>
                <w:spacing w:val="-2"/>
                <w:sz w:val="18"/>
                <w:szCs w:val="18"/>
                <w:lang w:eastAsia="zh-CN"/>
              </w:rPr>
              <w:t>领先水平（AAAAA 级）</w:t>
            </w:r>
          </w:p>
        </w:tc>
        <w:tc>
          <w:tcPr>
            <w:tcW w:w="1774" w:type="dxa"/>
            <w:tcBorders>
              <w:bottom w:val="single" w:color="auto" w:sz="12" w:space="0"/>
            </w:tcBorders>
            <w:vAlign w:val="center"/>
          </w:tcPr>
          <w:p w14:paraId="1B44C3EE">
            <w:pPr>
              <w:pStyle w:val="13"/>
              <w:spacing w:after="0"/>
              <w:jc w:val="center"/>
              <w:rPr>
                <w:rFonts w:hint="eastAsia"/>
                <w:spacing w:val="-2"/>
                <w:sz w:val="18"/>
                <w:szCs w:val="18"/>
                <w:lang w:eastAsia="zh-CN"/>
              </w:rPr>
            </w:pPr>
            <w:r>
              <w:rPr>
                <w:rFonts w:hint="eastAsia"/>
                <w:spacing w:val="-2"/>
                <w:sz w:val="18"/>
                <w:szCs w:val="18"/>
                <w:lang w:eastAsia="zh-CN"/>
              </w:rPr>
              <w:t>先进水平（AAAA 级）</w:t>
            </w:r>
          </w:p>
        </w:tc>
        <w:tc>
          <w:tcPr>
            <w:tcW w:w="1776" w:type="dxa"/>
            <w:tcBorders>
              <w:bottom w:val="single" w:color="auto" w:sz="12" w:space="0"/>
            </w:tcBorders>
            <w:vAlign w:val="center"/>
          </w:tcPr>
          <w:p w14:paraId="381D41C0">
            <w:pPr>
              <w:pStyle w:val="13"/>
              <w:spacing w:after="0"/>
              <w:jc w:val="center"/>
              <w:rPr>
                <w:rFonts w:hint="eastAsia"/>
                <w:spacing w:val="-2"/>
                <w:sz w:val="18"/>
                <w:szCs w:val="18"/>
                <w:lang w:eastAsia="zh-CN"/>
              </w:rPr>
            </w:pPr>
            <w:r>
              <w:rPr>
                <w:rFonts w:hint="eastAsia"/>
                <w:spacing w:val="-2"/>
                <w:sz w:val="18"/>
                <w:szCs w:val="18"/>
                <w:lang w:eastAsia="zh-CN"/>
              </w:rPr>
              <w:t>基础水平（AAA 级）</w:t>
            </w:r>
          </w:p>
        </w:tc>
      </w:tr>
      <w:tr w14:paraId="0AB4E8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379" w:hRule="atLeast"/>
        </w:trPr>
        <w:tc>
          <w:tcPr>
            <w:tcW w:w="530" w:type="dxa"/>
            <w:tcBorders>
              <w:top w:val="single" w:color="auto" w:sz="12" w:space="0"/>
              <w:tl2br w:val="nil"/>
              <w:tr2bl w:val="nil"/>
            </w:tcBorders>
            <w:vAlign w:val="center"/>
          </w:tcPr>
          <w:p w14:paraId="4CF1089D">
            <w:pPr>
              <w:pStyle w:val="13"/>
              <w:spacing w:after="0"/>
              <w:jc w:val="center"/>
              <w:rPr>
                <w:rFonts w:hint="eastAsia"/>
                <w:spacing w:val="-2"/>
                <w:sz w:val="18"/>
                <w:szCs w:val="18"/>
              </w:rPr>
            </w:pPr>
            <w:r>
              <w:rPr>
                <w:rFonts w:hint="eastAsia"/>
                <w:spacing w:val="-2"/>
                <w:sz w:val="18"/>
                <w:szCs w:val="18"/>
              </w:rPr>
              <w:t>1</w:t>
            </w:r>
          </w:p>
        </w:tc>
        <w:tc>
          <w:tcPr>
            <w:tcW w:w="2804" w:type="dxa"/>
            <w:gridSpan w:val="3"/>
            <w:tcBorders>
              <w:top w:val="single" w:color="auto" w:sz="12" w:space="0"/>
              <w:tl2br w:val="nil"/>
              <w:tr2bl w:val="nil"/>
            </w:tcBorders>
            <w:vAlign w:val="center"/>
          </w:tcPr>
          <w:p w14:paraId="55E456F6">
            <w:pPr>
              <w:pStyle w:val="13"/>
              <w:spacing w:after="0"/>
              <w:jc w:val="center"/>
              <w:rPr>
                <w:rFonts w:hint="eastAsia"/>
                <w:spacing w:val="-2"/>
                <w:sz w:val="18"/>
                <w:szCs w:val="18"/>
              </w:rPr>
            </w:pPr>
            <w:r>
              <w:rPr>
                <w:rFonts w:hint="eastAsia"/>
                <w:spacing w:val="-2"/>
                <w:sz w:val="18"/>
                <w:szCs w:val="18"/>
              </w:rPr>
              <w:t>整机密封性</w:t>
            </w:r>
          </w:p>
        </w:tc>
        <w:tc>
          <w:tcPr>
            <w:tcW w:w="5580" w:type="dxa"/>
            <w:gridSpan w:val="3"/>
            <w:tcBorders>
              <w:top w:val="single" w:color="auto" w:sz="12" w:space="0"/>
              <w:tl2br w:val="nil"/>
              <w:tr2bl w:val="nil"/>
            </w:tcBorders>
            <w:vAlign w:val="center"/>
          </w:tcPr>
          <w:p w14:paraId="33E8F2BC">
            <w:pPr>
              <w:pStyle w:val="13"/>
              <w:spacing w:after="0"/>
              <w:jc w:val="center"/>
              <w:rPr>
                <w:rFonts w:hint="eastAsia"/>
                <w:spacing w:val="-2"/>
                <w:sz w:val="18"/>
                <w:szCs w:val="18"/>
              </w:rPr>
            </w:pPr>
            <w:r>
              <w:rPr>
                <w:rFonts w:hint="eastAsia"/>
                <w:spacing w:val="-2"/>
                <w:sz w:val="18"/>
                <w:szCs w:val="18"/>
              </w:rPr>
              <w:t>不允许渗漏</w:t>
            </w:r>
          </w:p>
        </w:tc>
      </w:tr>
      <w:tr w14:paraId="49F143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30" w:type="dxa"/>
            <w:tcBorders>
              <w:tl2br w:val="nil"/>
              <w:tr2bl w:val="nil"/>
            </w:tcBorders>
            <w:vAlign w:val="center"/>
          </w:tcPr>
          <w:p w14:paraId="593C8E18">
            <w:pPr>
              <w:pStyle w:val="13"/>
              <w:spacing w:after="0"/>
              <w:jc w:val="center"/>
              <w:rPr>
                <w:rFonts w:hint="eastAsia"/>
                <w:spacing w:val="-2"/>
                <w:sz w:val="18"/>
                <w:szCs w:val="18"/>
              </w:rPr>
            </w:pPr>
            <w:r>
              <w:rPr>
                <w:rFonts w:hint="eastAsia"/>
                <w:spacing w:val="-2"/>
                <w:sz w:val="18"/>
                <w:szCs w:val="18"/>
              </w:rPr>
              <w:t>2</w:t>
            </w:r>
          </w:p>
        </w:tc>
        <w:tc>
          <w:tcPr>
            <w:tcW w:w="2804" w:type="dxa"/>
            <w:gridSpan w:val="3"/>
            <w:tcBorders>
              <w:tl2br w:val="nil"/>
              <w:tr2bl w:val="nil"/>
            </w:tcBorders>
            <w:vAlign w:val="center"/>
          </w:tcPr>
          <w:p w14:paraId="032416F3">
            <w:pPr>
              <w:pStyle w:val="13"/>
              <w:spacing w:after="0"/>
              <w:jc w:val="center"/>
              <w:rPr>
                <w:rFonts w:hint="eastAsia"/>
                <w:spacing w:val="-2"/>
                <w:sz w:val="18"/>
                <w:szCs w:val="18"/>
              </w:rPr>
            </w:pPr>
            <w:r>
              <w:rPr>
                <w:rFonts w:hint="eastAsia"/>
                <w:spacing w:val="-2"/>
                <w:sz w:val="18"/>
                <w:szCs w:val="18"/>
              </w:rPr>
              <w:t>跑偏量</w:t>
            </w:r>
          </w:p>
        </w:tc>
        <w:tc>
          <w:tcPr>
            <w:tcW w:w="5580" w:type="dxa"/>
            <w:gridSpan w:val="3"/>
            <w:tcBorders>
              <w:tl2br w:val="nil"/>
              <w:tr2bl w:val="nil"/>
            </w:tcBorders>
            <w:vAlign w:val="center"/>
          </w:tcPr>
          <w:p w14:paraId="1A910ECB">
            <w:pPr>
              <w:pStyle w:val="13"/>
              <w:spacing w:after="0"/>
              <w:jc w:val="center"/>
              <w:rPr>
                <w:rFonts w:hint="eastAsia"/>
                <w:spacing w:val="-2"/>
                <w:sz w:val="18"/>
                <w:szCs w:val="18"/>
                <w:lang w:eastAsia="zh-CN"/>
              </w:rPr>
            </w:pPr>
            <w:r>
              <w:rPr>
                <w:rFonts w:hint="eastAsia"/>
                <w:spacing w:val="-2"/>
                <w:sz w:val="18"/>
                <w:szCs w:val="18"/>
                <w:lang w:eastAsia="zh-CN"/>
              </w:rPr>
              <w:t>挖掘机直线行驶的跑偏量不应大于测量距离的5%</w:t>
            </w:r>
          </w:p>
        </w:tc>
      </w:tr>
      <w:tr w14:paraId="6BAB5A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47AA5C54">
            <w:pPr>
              <w:pStyle w:val="13"/>
              <w:spacing w:after="0"/>
              <w:jc w:val="center"/>
              <w:rPr>
                <w:rFonts w:hint="eastAsia"/>
                <w:spacing w:val="-2"/>
                <w:sz w:val="18"/>
                <w:szCs w:val="18"/>
              </w:rPr>
            </w:pPr>
            <w:r>
              <w:rPr>
                <w:rFonts w:hint="eastAsia"/>
                <w:spacing w:val="-2"/>
                <w:sz w:val="18"/>
                <w:szCs w:val="18"/>
              </w:rPr>
              <w:t>3</w:t>
            </w:r>
          </w:p>
        </w:tc>
        <w:tc>
          <w:tcPr>
            <w:tcW w:w="2804" w:type="dxa"/>
            <w:gridSpan w:val="3"/>
            <w:tcBorders>
              <w:tl2br w:val="nil"/>
              <w:tr2bl w:val="nil"/>
            </w:tcBorders>
            <w:vAlign w:val="center"/>
          </w:tcPr>
          <w:p w14:paraId="6DA4D396">
            <w:pPr>
              <w:pStyle w:val="13"/>
              <w:spacing w:after="0"/>
              <w:jc w:val="center"/>
              <w:rPr>
                <w:rFonts w:hint="eastAsia"/>
                <w:spacing w:val="-2"/>
                <w:sz w:val="18"/>
                <w:szCs w:val="18"/>
              </w:rPr>
            </w:pPr>
            <w:r>
              <w:rPr>
                <w:rFonts w:hint="eastAsia"/>
                <w:spacing w:val="-2"/>
                <w:sz w:val="18"/>
                <w:szCs w:val="18"/>
              </w:rPr>
              <w:t>视野</w:t>
            </w:r>
          </w:p>
        </w:tc>
        <w:tc>
          <w:tcPr>
            <w:tcW w:w="5580" w:type="dxa"/>
            <w:gridSpan w:val="3"/>
            <w:tcBorders>
              <w:tl2br w:val="nil"/>
              <w:tr2bl w:val="nil"/>
            </w:tcBorders>
            <w:vAlign w:val="center"/>
          </w:tcPr>
          <w:p w14:paraId="67560FDC">
            <w:pPr>
              <w:pStyle w:val="13"/>
              <w:spacing w:after="0"/>
              <w:jc w:val="center"/>
              <w:rPr>
                <w:rFonts w:hint="eastAsia"/>
                <w:spacing w:val="-2"/>
                <w:sz w:val="18"/>
                <w:szCs w:val="18"/>
              </w:rPr>
            </w:pPr>
            <w:r>
              <w:rPr>
                <w:rFonts w:hint="eastAsia"/>
                <w:spacing w:val="-2"/>
                <w:sz w:val="18"/>
                <w:szCs w:val="18"/>
              </w:rPr>
              <w:t>满足 GB 16937 的要求</w:t>
            </w:r>
          </w:p>
        </w:tc>
      </w:tr>
      <w:tr w14:paraId="196282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27AFD987">
            <w:pPr>
              <w:pStyle w:val="13"/>
              <w:spacing w:after="0"/>
              <w:jc w:val="center"/>
              <w:rPr>
                <w:rFonts w:hint="eastAsia"/>
                <w:spacing w:val="-2"/>
                <w:sz w:val="18"/>
                <w:szCs w:val="18"/>
              </w:rPr>
            </w:pPr>
            <w:r>
              <w:rPr>
                <w:rFonts w:hint="eastAsia"/>
                <w:spacing w:val="-2"/>
                <w:sz w:val="18"/>
                <w:szCs w:val="18"/>
              </w:rPr>
              <w:t>4</w:t>
            </w:r>
          </w:p>
        </w:tc>
        <w:tc>
          <w:tcPr>
            <w:tcW w:w="2804" w:type="dxa"/>
            <w:gridSpan w:val="3"/>
            <w:tcBorders>
              <w:tl2br w:val="nil"/>
              <w:tr2bl w:val="nil"/>
            </w:tcBorders>
            <w:vAlign w:val="center"/>
          </w:tcPr>
          <w:p w14:paraId="2038CDB6">
            <w:pPr>
              <w:pStyle w:val="13"/>
              <w:spacing w:after="0"/>
              <w:jc w:val="center"/>
              <w:rPr>
                <w:rFonts w:hint="eastAsia"/>
                <w:spacing w:val="-2"/>
                <w:sz w:val="18"/>
                <w:szCs w:val="18"/>
              </w:rPr>
            </w:pPr>
            <w:r>
              <w:rPr>
                <w:rFonts w:hint="eastAsia"/>
                <w:spacing w:val="-2"/>
                <w:sz w:val="18"/>
                <w:szCs w:val="18"/>
              </w:rPr>
              <w:t>回转制动</w:t>
            </w:r>
          </w:p>
        </w:tc>
        <w:tc>
          <w:tcPr>
            <w:tcW w:w="5580" w:type="dxa"/>
            <w:gridSpan w:val="3"/>
            <w:tcBorders>
              <w:tl2br w:val="nil"/>
              <w:tr2bl w:val="nil"/>
            </w:tcBorders>
            <w:vAlign w:val="center"/>
          </w:tcPr>
          <w:p w14:paraId="3E388566">
            <w:pPr>
              <w:pStyle w:val="13"/>
              <w:spacing w:after="0"/>
              <w:jc w:val="center"/>
              <w:rPr>
                <w:rFonts w:hint="eastAsia"/>
                <w:spacing w:val="-2"/>
                <w:sz w:val="18"/>
                <w:szCs w:val="18"/>
              </w:rPr>
            </w:pPr>
            <w:r>
              <w:rPr>
                <w:rFonts w:hint="eastAsia"/>
                <w:spacing w:val="-2"/>
                <w:sz w:val="18"/>
                <w:szCs w:val="18"/>
              </w:rPr>
              <w:t>满足 GB/T 25684.5</w:t>
            </w:r>
            <w:r>
              <w:rPr>
                <w:rFonts w:hint="eastAsia"/>
                <w:spacing w:val="-2"/>
                <w:sz w:val="18"/>
                <w:szCs w:val="18"/>
                <w:lang w:eastAsia="zh-CN"/>
              </w:rPr>
              <w:t>—</w:t>
            </w:r>
            <w:r>
              <w:rPr>
                <w:rFonts w:hint="eastAsia"/>
                <w:spacing w:val="-2"/>
                <w:sz w:val="18"/>
                <w:szCs w:val="18"/>
              </w:rPr>
              <w:t>2021 中附录 A 的要求</w:t>
            </w:r>
          </w:p>
        </w:tc>
      </w:tr>
      <w:tr w14:paraId="635C25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733290C5">
            <w:pPr>
              <w:pStyle w:val="13"/>
              <w:spacing w:after="0"/>
              <w:jc w:val="center"/>
              <w:rPr>
                <w:rFonts w:hint="eastAsia"/>
                <w:spacing w:val="-2"/>
                <w:sz w:val="18"/>
                <w:szCs w:val="18"/>
              </w:rPr>
            </w:pPr>
            <w:r>
              <w:rPr>
                <w:rFonts w:hint="eastAsia"/>
                <w:spacing w:val="-2"/>
                <w:sz w:val="18"/>
                <w:szCs w:val="18"/>
              </w:rPr>
              <w:t>5</w:t>
            </w:r>
          </w:p>
        </w:tc>
        <w:tc>
          <w:tcPr>
            <w:tcW w:w="2804" w:type="dxa"/>
            <w:gridSpan w:val="3"/>
            <w:tcBorders>
              <w:tl2br w:val="nil"/>
              <w:tr2bl w:val="nil"/>
            </w:tcBorders>
            <w:vAlign w:val="center"/>
          </w:tcPr>
          <w:p w14:paraId="75E8DB76">
            <w:pPr>
              <w:pStyle w:val="13"/>
              <w:spacing w:after="0"/>
              <w:jc w:val="center"/>
              <w:rPr>
                <w:rFonts w:hint="eastAsia"/>
                <w:spacing w:val="-2"/>
                <w:sz w:val="18"/>
                <w:szCs w:val="18"/>
              </w:rPr>
            </w:pPr>
            <w:r>
              <w:rPr>
                <w:rFonts w:hint="eastAsia"/>
                <w:spacing w:val="-2"/>
                <w:sz w:val="18"/>
                <w:szCs w:val="18"/>
              </w:rPr>
              <w:t>稳定性</w:t>
            </w:r>
          </w:p>
        </w:tc>
        <w:tc>
          <w:tcPr>
            <w:tcW w:w="5580" w:type="dxa"/>
            <w:gridSpan w:val="3"/>
            <w:tcBorders>
              <w:tl2br w:val="nil"/>
              <w:tr2bl w:val="nil"/>
            </w:tcBorders>
            <w:vAlign w:val="center"/>
          </w:tcPr>
          <w:p w14:paraId="01382E7D">
            <w:pPr>
              <w:pStyle w:val="13"/>
              <w:spacing w:after="0"/>
              <w:jc w:val="center"/>
              <w:rPr>
                <w:rFonts w:hint="eastAsia"/>
                <w:spacing w:val="-2"/>
                <w:sz w:val="18"/>
                <w:szCs w:val="18"/>
              </w:rPr>
            </w:pPr>
            <w:r>
              <w:rPr>
                <w:rFonts w:hint="eastAsia"/>
                <w:spacing w:val="-2"/>
                <w:sz w:val="18"/>
                <w:szCs w:val="18"/>
              </w:rPr>
              <w:t>满足 GB/T 25684.5</w:t>
            </w:r>
            <w:r>
              <w:rPr>
                <w:rFonts w:hint="eastAsia"/>
                <w:spacing w:val="-2"/>
                <w:sz w:val="18"/>
                <w:szCs w:val="18"/>
                <w:lang w:eastAsia="zh-CN"/>
              </w:rPr>
              <w:t>—</w:t>
            </w:r>
            <w:r>
              <w:rPr>
                <w:rFonts w:hint="eastAsia"/>
                <w:spacing w:val="-2"/>
                <w:sz w:val="18"/>
                <w:szCs w:val="18"/>
              </w:rPr>
              <w:t>2021 中 4.5 的要求</w:t>
            </w:r>
          </w:p>
        </w:tc>
      </w:tr>
      <w:tr w14:paraId="29DE67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610B699E">
            <w:pPr>
              <w:pStyle w:val="13"/>
              <w:spacing w:after="0"/>
              <w:jc w:val="center"/>
              <w:rPr>
                <w:rFonts w:hint="eastAsia"/>
                <w:spacing w:val="-2"/>
                <w:sz w:val="18"/>
                <w:szCs w:val="18"/>
              </w:rPr>
            </w:pPr>
            <w:r>
              <w:rPr>
                <w:rFonts w:hint="eastAsia"/>
                <w:spacing w:val="-2"/>
                <w:sz w:val="18"/>
                <w:szCs w:val="18"/>
              </w:rPr>
              <w:t>6</w:t>
            </w:r>
          </w:p>
        </w:tc>
        <w:tc>
          <w:tcPr>
            <w:tcW w:w="2804" w:type="dxa"/>
            <w:gridSpan w:val="3"/>
            <w:tcBorders>
              <w:tl2br w:val="nil"/>
              <w:tr2bl w:val="nil"/>
            </w:tcBorders>
            <w:vAlign w:val="center"/>
          </w:tcPr>
          <w:p w14:paraId="0DDFCD22">
            <w:pPr>
              <w:pStyle w:val="13"/>
              <w:spacing w:after="0"/>
              <w:jc w:val="center"/>
              <w:rPr>
                <w:rFonts w:hint="eastAsia"/>
                <w:spacing w:val="-2"/>
                <w:sz w:val="18"/>
                <w:szCs w:val="18"/>
              </w:rPr>
            </w:pPr>
            <w:r>
              <w:rPr>
                <w:rFonts w:hint="eastAsia"/>
                <w:spacing w:val="-2"/>
                <w:sz w:val="18"/>
                <w:szCs w:val="18"/>
              </w:rPr>
              <w:t>排气污染物</w:t>
            </w:r>
          </w:p>
        </w:tc>
        <w:tc>
          <w:tcPr>
            <w:tcW w:w="5580" w:type="dxa"/>
            <w:gridSpan w:val="3"/>
            <w:tcBorders>
              <w:tl2br w:val="nil"/>
              <w:tr2bl w:val="nil"/>
            </w:tcBorders>
          </w:tcPr>
          <w:p w14:paraId="5DCD590E">
            <w:pPr>
              <w:pStyle w:val="13"/>
              <w:spacing w:after="0"/>
              <w:jc w:val="center"/>
              <w:rPr>
                <w:rFonts w:hint="eastAsia"/>
                <w:spacing w:val="-2"/>
                <w:sz w:val="18"/>
                <w:szCs w:val="18"/>
              </w:rPr>
            </w:pPr>
            <w:r>
              <w:rPr>
                <w:rFonts w:hint="eastAsia"/>
                <w:spacing w:val="-2"/>
                <w:sz w:val="18"/>
                <w:szCs w:val="18"/>
              </w:rPr>
              <w:t>满足 HJ 1014 的要求</w:t>
            </w:r>
          </w:p>
        </w:tc>
      </w:tr>
      <w:tr w14:paraId="6C8CA0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543FC9CE">
            <w:pPr>
              <w:pStyle w:val="13"/>
              <w:spacing w:after="0"/>
              <w:jc w:val="center"/>
              <w:rPr>
                <w:rFonts w:hint="eastAsia"/>
                <w:spacing w:val="-2"/>
                <w:sz w:val="18"/>
                <w:szCs w:val="18"/>
              </w:rPr>
            </w:pPr>
            <w:r>
              <w:rPr>
                <w:rFonts w:hint="eastAsia"/>
                <w:spacing w:val="-2"/>
                <w:sz w:val="18"/>
                <w:szCs w:val="18"/>
              </w:rPr>
              <w:t>7</w:t>
            </w:r>
          </w:p>
        </w:tc>
        <w:tc>
          <w:tcPr>
            <w:tcW w:w="2804" w:type="dxa"/>
            <w:gridSpan w:val="3"/>
            <w:tcBorders>
              <w:tl2br w:val="nil"/>
              <w:tr2bl w:val="nil"/>
            </w:tcBorders>
            <w:vAlign w:val="center"/>
          </w:tcPr>
          <w:p w14:paraId="2E2DCA7D">
            <w:pPr>
              <w:pStyle w:val="13"/>
              <w:spacing w:after="0"/>
              <w:jc w:val="center"/>
              <w:rPr>
                <w:rFonts w:hint="eastAsia"/>
                <w:spacing w:val="-2"/>
                <w:sz w:val="18"/>
                <w:szCs w:val="18"/>
              </w:rPr>
            </w:pPr>
            <w:r>
              <w:rPr>
                <w:rFonts w:hint="eastAsia"/>
                <w:spacing w:val="-2"/>
                <w:sz w:val="18"/>
                <w:szCs w:val="18"/>
              </w:rPr>
              <w:t>爬坡能力*</w:t>
            </w:r>
          </w:p>
        </w:tc>
        <w:tc>
          <w:tcPr>
            <w:tcW w:w="2030" w:type="dxa"/>
            <w:tcBorders>
              <w:tl2br w:val="nil"/>
              <w:tr2bl w:val="nil"/>
            </w:tcBorders>
            <w:vAlign w:val="center"/>
          </w:tcPr>
          <w:p w14:paraId="2DBDF168">
            <w:pPr>
              <w:pStyle w:val="13"/>
              <w:spacing w:after="0"/>
              <w:jc w:val="center"/>
              <w:rPr>
                <w:rFonts w:hint="eastAsia"/>
                <w:spacing w:val="-2"/>
                <w:sz w:val="18"/>
                <w:szCs w:val="18"/>
              </w:rPr>
            </w:pPr>
            <w:r>
              <w:rPr>
                <w:rFonts w:hint="eastAsia"/>
                <w:spacing w:val="-2"/>
                <w:sz w:val="18"/>
                <w:szCs w:val="18"/>
              </w:rPr>
              <w:t>70%</w:t>
            </w:r>
          </w:p>
        </w:tc>
        <w:tc>
          <w:tcPr>
            <w:tcW w:w="1774" w:type="dxa"/>
            <w:tcBorders>
              <w:tl2br w:val="nil"/>
              <w:tr2bl w:val="nil"/>
            </w:tcBorders>
            <w:vAlign w:val="center"/>
          </w:tcPr>
          <w:p w14:paraId="6AE2EE02">
            <w:pPr>
              <w:pStyle w:val="13"/>
              <w:spacing w:after="0"/>
              <w:jc w:val="center"/>
              <w:rPr>
                <w:rFonts w:hint="eastAsia"/>
                <w:spacing w:val="-2"/>
                <w:sz w:val="18"/>
                <w:szCs w:val="18"/>
              </w:rPr>
            </w:pPr>
            <w:r>
              <w:rPr>
                <w:rFonts w:hint="eastAsia"/>
                <w:spacing w:val="-2"/>
                <w:sz w:val="18"/>
                <w:szCs w:val="18"/>
              </w:rPr>
              <w:t>60%</w:t>
            </w:r>
          </w:p>
        </w:tc>
        <w:tc>
          <w:tcPr>
            <w:tcW w:w="1776" w:type="dxa"/>
            <w:tcBorders>
              <w:tl2br w:val="nil"/>
              <w:tr2bl w:val="nil"/>
            </w:tcBorders>
            <w:vAlign w:val="center"/>
          </w:tcPr>
          <w:p w14:paraId="1ED1AAA8">
            <w:pPr>
              <w:pStyle w:val="13"/>
              <w:spacing w:after="0"/>
              <w:jc w:val="center"/>
              <w:rPr>
                <w:rFonts w:hint="eastAsia"/>
                <w:spacing w:val="-2"/>
                <w:sz w:val="18"/>
                <w:szCs w:val="18"/>
              </w:rPr>
            </w:pPr>
            <w:r>
              <w:rPr>
                <w:rFonts w:hint="eastAsia"/>
                <w:spacing w:val="-2"/>
                <w:sz w:val="18"/>
                <w:szCs w:val="18"/>
              </w:rPr>
              <w:t>50%</w:t>
            </w:r>
          </w:p>
        </w:tc>
      </w:tr>
      <w:tr w14:paraId="39CF1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69E72B09">
            <w:pPr>
              <w:pStyle w:val="13"/>
              <w:spacing w:after="0"/>
              <w:jc w:val="center"/>
              <w:rPr>
                <w:rFonts w:hint="eastAsia"/>
                <w:spacing w:val="-2"/>
                <w:sz w:val="18"/>
                <w:szCs w:val="18"/>
              </w:rPr>
            </w:pPr>
            <w:r>
              <w:rPr>
                <w:rFonts w:hint="eastAsia"/>
                <w:spacing w:val="-2"/>
                <w:sz w:val="18"/>
                <w:szCs w:val="18"/>
              </w:rPr>
              <w:t>8</w:t>
            </w:r>
          </w:p>
        </w:tc>
        <w:tc>
          <w:tcPr>
            <w:tcW w:w="2804" w:type="dxa"/>
            <w:gridSpan w:val="3"/>
            <w:tcBorders>
              <w:tl2br w:val="nil"/>
              <w:tr2bl w:val="nil"/>
            </w:tcBorders>
            <w:vAlign w:val="center"/>
          </w:tcPr>
          <w:p w14:paraId="646AE297">
            <w:pPr>
              <w:pStyle w:val="13"/>
              <w:spacing w:after="0"/>
              <w:jc w:val="center"/>
              <w:rPr>
                <w:rFonts w:hint="eastAsia"/>
                <w:spacing w:val="-2"/>
                <w:sz w:val="18"/>
                <w:szCs w:val="18"/>
                <w:lang w:eastAsia="zh-CN"/>
              </w:rPr>
            </w:pPr>
            <w:r>
              <w:rPr>
                <w:rFonts w:hint="eastAsia"/>
                <w:spacing w:val="-2"/>
                <w:sz w:val="18"/>
                <w:szCs w:val="18"/>
                <w:lang w:eastAsia="zh-CN"/>
              </w:rPr>
              <w:t>液压系统油液固体颗粒污染等级*</w:t>
            </w:r>
          </w:p>
        </w:tc>
        <w:tc>
          <w:tcPr>
            <w:tcW w:w="2030" w:type="dxa"/>
            <w:tcBorders>
              <w:tl2br w:val="nil"/>
              <w:tr2bl w:val="nil"/>
            </w:tcBorders>
            <w:vAlign w:val="center"/>
          </w:tcPr>
          <w:p w14:paraId="7383B164">
            <w:pPr>
              <w:pStyle w:val="13"/>
              <w:spacing w:after="0"/>
              <w:jc w:val="center"/>
              <w:rPr>
                <w:rFonts w:hint="eastAsia"/>
                <w:spacing w:val="-2"/>
                <w:sz w:val="18"/>
                <w:szCs w:val="18"/>
              </w:rPr>
            </w:pPr>
            <w:r>
              <w:rPr>
                <w:rFonts w:hint="eastAsia"/>
                <w:spacing w:val="-2"/>
                <w:sz w:val="18"/>
                <w:szCs w:val="18"/>
              </w:rPr>
              <w:t>-/16/14</w:t>
            </w:r>
          </w:p>
        </w:tc>
        <w:tc>
          <w:tcPr>
            <w:tcW w:w="1774" w:type="dxa"/>
            <w:tcBorders>
              <w:tl2br w:val="nil"/>
              <w:tr2bl w:val="nil"/>
            </w:tcBorders>
            <w:vAlign w:val="center"/>
          </w:tcPr>
          <w:p w14:paraId="1E3930CE">
            <w:pPr>
              <w:pStyle w:val="13"/>
              <w:spacing w:after="0"/>
              <w:jc w:val="center"/>
              <w:rPr>
                <w:rFonts w:hint="eastAsia"/>
                <w:spacing w:val="-2"/>
                <w:sz w:val="18"/>
                <w:szCs w:val="18"/>
              </w:rPr>
            </w:pPr>
            <w:r>
              <w:rPr>
                <w:rFonts w:hint="eastAsia"/>
                <w:spacing w:val="-2"/>
                <w:sz w:val="18"/>
                <w:szCs w:val="18"/>
              </w:rPr>
              <w:t>-/17/14</w:t>
            </w:r>
          </w:p>
        </w:tc>
        <w:tc>
          <w:tcPr>
            <w:tcW w:w="1776" w:type="dxa"/>
            <w:tcBorders>
              <w:tl2br w:val="nil"/>
              <w:tr2bl w:val="nil"/>
            </w:tcBorders>
            <w:vAlign w:val="center"/>
          </w:tcPr>
          <w:p w14:paraId="131222D5">
            <w:pPr>
              <w:pStyle w:val="13"/>
              <w:spacing w:after="0"/>
              <w:jc w:val="center"/>
              <w:rPr>
                <w:rFonts w:hint="eastAsia"/>
                <w:spacing w:val="-2"/>
                <w:sz w:val="18"/>
                <w:szCs w:val="18"/>
              </w:rPr>
            </w:pPr>
            <w:r>
              <w:rPr>
                <w:rFonts w:hint="eastAsia"/>
                <w:spacing w:val="-2"/>
                <w:sz w:val="18"/>
                <w:szCs w:val="18"/>
              </w:rPr>
              <w:t>-/18/15</w:t>
            </w:r>
          </w:p>
        </w:tc>
      </w:tr>
      <w:tr w14:paraId="31B436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57BCF23C">
            <w:pPr>
              <w:pStyle w:val="13"/>
              <w:spacing w:after="0"/>
              <w:jc w:val="center"/>
              <w:rPr>
                <w:rFonts w:hint="eastAsia"/>
                <w:spacing w:val="-2"/>
                <w:sz w:val="18"/>
                <w:szCs w:val="18"/>
              </w:rPr>
            </w:pPr>
            <w:r>
              <w:rPr>
                <w:rFonts w:hint="eastAsia"/>
                <w:spacing w:val="-2"/>
                <w:sz w:val="18"/>
                <w:szCs w:val="18"/>
              </w:rPr>
              <w:t>9</w:t>
            </w:r>
          </w:p>
        </w:tc>
        <w:tc>
          <w:tcPr>
            <w:tcW w:w="2804" w:type="dxa"/>
            <w:gridSpan w:val="3"/>
            <w:tcBorders>
              <w:tl2br w:val="nil"/>
              <w:tr2bl w:val="nil"/>
            </w:tcBorders>
            <w:vAlign w:val="center"/>
          </w:tcPr>
          <w:p w14:paraId="06A5BF2B">
            <w:pPr>
              <w:pStyle w:val="13"/>
              <w:spacing w:after="0"/>
              <w:jc w:val="center"/>
              <w:rPr>
                <w:rFonts w:hint="eastAsia"/>
                <w:spacing w:val="-2"/>
                <w:sz w:val="18"/>
                <w:szCs w:val="18"/>
              </w:rPr>
            </w:pPr>
            <w:r>
              <w:rPr>
                <w:rFonts w:hint="eastAsia"/>
                <w:spacing w:val="-2"/>
                <w:sz w:val="18"/>
                <w:szCs w:val="18"/>
              </w:rPr>
              <w:t>动臂液压缸沉降量*</w:t>
            </w:r>
          </w:p>
        </w:tc>
        <w:tc>
          <w:tcPr>
            <w:tcW w:w="2030" w:type="dxa"/>
            <w:tcBorders>
              <w:tl2br w:val="nil"/>
              <w:tr2bl w:val="nil"/>
            </w:tcBorders>
            <w:vAlign w:val="center"/>
          </w:tcPr>
          <w:p w14:paraId="1FA38028">
            <w:pPr>
              <w:pStyle w:val="13"/>
              <w:spacing w:after="0"/>
              <w:jc w:val="center"/>
              <w:rPr>
                <w:rFonts w:hint="eastAsia"/>
                <w:spacing w:val="-2"/>
                <w:sz w:val="18"/>
                <w:szCs w:val="18"/>
              </w:rPr>
            </w:pPr>
            <w:r>
              <w:rPr>
                <w:rFonts w:hint="eastAsia"/>
                <w:spacing w:val="-2"/>
                <w:sz w:val="18"/>
                <w:szCs w:val="18"/>
              </w:rPr>
              <w:t>5 mm/10 min</w:t>
            </w:r>
          </w:p>
        </w:tc>
        <w:tc>
          <w:tcPr>
            <w:tcW w:w="1774" w:type="dxa"/>
            <w:tcBorders>
              <w:tl2br w:val="nil"/>
              <w:tr2bl w:val="nil"/>
            </w:tcBorders>
            <w:vAlign w:val="center"/>
          </w:tcPr>
          <w:p w14:paraId="5E784676">
            <w:pPr>
              <w:pStyle w:val="13"/>
              <w:spacing w:after="0"/>
              <w:jc w:val="center"/>
              <w:rPr>
                <w:rFonts w:hint="eastAsia"/>
                <w:spacing w:val="-2"/>
                <w:sz w:val="18"/>
                <w:szCs w:val="18"/>
              </w:rPr>
            </w:pPr>
            <w:r>
              <w:rPr>
                <w:rFonts w:hint="eastAsia"/>
                <w:spacing w:val="-2"/>
                <w:sz w:val="18"/>
                <w:szCs w:val="18"/>
              </w:rPr>
              <w:t>10 mm/10 min</w:t>
            </w:r>
          </w:p>
        </w:tc>
        <w:tc>
          <w:tcPr>
            <w:tcW w:w="1776" w:type="dxa"/>
            <w:tcBorders>
              <w:tl2br w:val="nil"/>
              <w:tr2bl w:val="nil"/>
            </w:tcBorders>
            <w:vAlign w:val="center"/>
          </w:tcPr>
          <w:p w14:paraId="47340518">
            <w:pPr>
              <w:pStyle w:val="13"/>
              <w:spacing w:after="0"/>
              <w:jc w:val="center"/>
              <w:rPr>
                <w:rFonts w:hint="eastAsia"/>
                <w:spacing w:val="-2"/>
                <w:sz w:val="18"/>
                <w:szCs w:val="18"/>
              </w:rPr>
            </w:pPr>
            <w:r>
              <w:rPr>
                <w:rFonts w:hint="eastAsia"/>
                <w:spacing w:val="-2"/>
                <w:sz w:val="18"/>
                <w:szCs w:val="18"/>
              </w:rPr>
              <w:t>25 mm/10 min</w:t>
            </w:r>
          </w:p>
        </w:tc>
      </w:tr>
      <w:tr w14:paraId="037AFD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530" w:type="dxa"/>
            <w:tcBorders>
              <w:tl2br w:val="nil"/>
              <w:tr2bl w:val="nil"/>
            </w:tcBorders>
            <w:vAlign w:val="center"/>
          </w:tcPr>
          <w:p w14:paraId="699F4CFE">
            <w:pPr>
              <w:pStyle w:val="13"/>
              <w:spacing w:after="0"/>
              <w:jc w:val="center"/>
              <w:rPr>
                <w:rFonts w:hint="eastAsia"/>
                <w:spacing w:val="-2"/>
                <w:sz w:val="18"/>
                <w:szCs w:val="18"/>
              </w:rPr>
            </w:pPr>
            <w:r>
              <w:rPr>
                <w:rFonts w:hint="eastAsia"/>
                <w:spacing w:val="-2"/>
                <w:sz w:val="18"/>
                <w:szCs w:val="18"/>
              </w:rPr>
              <w:t>10</w:t>
            </w:r>
          </w:p>
        </w:tc>
        <w:tc>
          <w:tcPr>
            <w:tcW w:w="584" w:type="dxa"/>
            <w:vMerge w:val="restart"/>
            <w:tcBorders>
              <w:tl2br w:val="nil"/>
              <w:tr2bl w:val="nil"/>
            </w:tcBorders>
            <w:vAlign w:val="center"/>
          </w:tcPr>
          <w:p w14:paraId="1F599C12">
            <w:pPr>
              <w:pStyle w:val="13"/>
              <w:spacing w:after="0"/>
              <w:jc w:val="center"/>
              <w:rPr>
                <w:rFonts w:hint="eastAsia"/>
                <w:sz w:val="18"/>
                <w:szCs w:val="18"/>
              </w:rPr>
            </w:pPr>
            <w:r>
              <w:rPr>
                <w:rFonts w:hint="eastAsia"/>
                <w:spacing w:val="-2"/>
                <w:sz w:val="18"/>
                <w:szCs w:val="18"/>
              </w:rPr>
              <w:t>噪声</w:t>
            </w:r>
          </w:p>
        </w:tc>
        <w:tc>
          <w:tcPr>
            <w:tcW w:w="2220" w:type="dxa"/>
            <w:gridSpan w:val="2"/>
            <w:tcBorders>
              <w:tl2br w:val="nil"/>
              <w:tr2bl w:val="nil"/>
            </w:tcBorders>
            <w:vAlign w:val="center"/>
          </w:tcPr>
          <w:p w14:paraId="4BC51250">
            <w:pPr>
              <w:pStyle w:val="13"/>
              <w:spacing w:after="0"/>
              <w:jc w:val="center"/>
              <w:rPr>
                <w:rFonts w:hint="eastAsia"/>
                <w:spacing w:val="-2"/>
                <w:sz w:val="18"/>
                <w:szCs w:val="18"/>
              </w:rPr>
            </w:pPr>
            <w:r>
              <w:rPr>
                <w:rFonts w:hint="eastAsia"/>
                <w:spacing w:val="-2"/>
                <w:sz w:val="18"/>
                <w:szCs w:val="18"/>
              </w:rPr>
              <w:t>司机位置发射声压级*</w:t>
            </w:r>
          </w:p>
        </w:tc>
        <w:tc>
          <w:tcPr>
            <w:tcW w:w="2030" w:type="dxa"/>
            <w:tcBorders>
              <w:tl2br w:val="nil"/>
              <w:tr2bl w:val="nil"/>
            </w:tcBorders>
            <w:vAlign w:val="center"/>
          </w:tcPr>
          <w:p w14:paraId="625C749B">
            <w:pPr>
              <w:pStyle w:val="13"/>
              <w:spacing w:after="0"/>
              <w:jc w:val="center"/>
              <w:rPr>
                <w:rFonts w:hint="eastAsia"/>
                <w:spacing w:val="-2"/>
                <w:sz w:val="18"/>
                <w:szCs w:val="18"/>
              </w:rPr>
            </w:pPr>
            <w:r>
              <w:rPr>
                <w:rFonts w:hint="eastAsia"/>
                <w:spacing w:val="-2"/>
                <w:sz w:val="18"/>
                <w:szCs w:val="18"/>
              </w:rPr>
              <w:t>75</w:t>
            </w:r>
          </w:p>
        </w:tc>
        <w:tc>
          <w:tcPr>
            <w:tcW w:w="1774" w:type="dxa"/>
            <w:tcBorders>
              <w:tl2br w:val="nil"/>
              <w:tr2bl w:val="nil"/>
            </w:tcBorders>
            <w:vAlign w:val="center"/>
          </w:tcPr>
          <w:p w14:paraId="0FF24D95">
            <w:pPr>
              <w:pStyle w:val="13"/>
              <w:spacing w:after="0"/>
              <w:jc w:val="center"/>
              <w:rPr>
                <w:rFonts w:hint="eastAsia"/>
                <w:spacing w:val="-2"/>
                <w:sz w:val="18"/>
                <w:szCs w:val="18"/>
              </w:rPr>
            </w:pPr>
            <w:r>
              <w:rPr>
                <w:rFonts w:hint="eastAsia"/>
                <w:spacing w:val="-2"/>
                <w:sz w:val="18"/>
                <w:szCs w:val="18"/>
              </w:rPr>
              <w:t>77</w:t>
            </w:r>
          </w:p>
        </w:tc>
        <w:tc>
          <w:tcPr>
            <w:tcW w:w="1776" w:type="dxa"/>
            <w:tcBorders>
              <w:tl2br w:val="nil"/>
              <w:tr2bl w:val="nil"/>
            </w:tcBorders>
            <w:vAlign w:val="center"/>
          </w:tcPr>
          <w:p w14:paraId="5D96F67D">
            <w:pPr>
              <w:pStyle w:val="13"/>
              <w:spacing w:after="0"/>
              <w:jc w:val="center"/>
              <w:rPr>
                <w:rFonts w:hint="eastAsia"/>
                <w:spacing w:val="-2"/>
                <w:sz w:val="18"/>
                <w:szCs w:val="18"/>
              </w:rPr>
            </w:pPr>
            <w:r>
              <w:rPr>
                <w:rFonts w:hint="eastAsia"/>
                <w:spacing w:val="-2"/>
                <w:sz w:val="18"/>
                <w:szCs w:val="18"/>
              </w:rPr>
              <w:t>80</w:t>
            </w:r>
          </w:p>
        </w:tc>
      </w:tr>
      <w:tr w14:paraId="7AC587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530" w:type="dxa"/>
            <w:vMerge w:val="restart"/>
            <w:tcBorders>
              <w:tl2br w:val="nil"/>
              <w:tr2bl w:val="nil"/>
            </w:tcBorders>
            <w:vAlign w:val="center"/>
          </w:tcPr>
          <w:p w14:paraId="20599E56">
            <w:pPr>
              <w:pStyle w:val="13"/>
              <w:spacing w:after="0"/>
              <w:jc w:val="center"/>
              <w:rPr>
                <w:rFonts w:hint="eastAsia"/>
                <w:sz w:val="18"/>
                <w:szCs w:val="18"/>
              </w:rPr>
            </w:pPr>
            <w:r>
              <w:rPr>
                <w:rFonts w:hint="eastAsia"/>
                <w:spacing w:val="-2"/>
                <w:sz w:val="18"/>
                <w:szCs w:val="18"/>
              </w:rPr>
              <w:t>11</w:t>
            </w:r>
          </w:p>
        </w:tc>
        <w:tc>
          <w:tcPr>
            <w:tcW w:w="584" w:type="dxa"/>
            <w:vMerge w:val="continue"/>
            <w:tcBorders>
              <w:tl2br w:val="nil"/>
              <w:tr2bl w:val="nil"/>
            </w:tcBorders>
            <w:vAlign w:val="center"/>
          </w:tcPr>
          <w:p w14:paraId="291C0B41">
            <w:pPr>
              <w:jc w:val="center"/>
              <w:rPr>
                <w:rFonts w:hint="eastAsia" w:ascii="宋体" w:hAnsi="宋体" w:eastAsia="宋体" w:cs="宋体"/>
                <w:sz w:val="18"/>
                <w:szCs w:val="18"/>
              </w:rPr>
            </w:pPr>
          </w:p>
        </w:tc>
        <w:tc>
          <w:tcPr>
            <w:tcW w:w="736" w:type="dxa"/>
            <w:vMerge w:val="restart"/>
            <w:tcBorders>
              <w:tl2br w:val="nil"/>
              <w:tr2bl w:val="nil"/>
            </w:tcBorders>
            <w:vAlign w:val="center"/>
          </w:tcPr>
          <w:p w14:paraId="33E8976D">
            <w:pPr>
              <w:pStyle w:val="13"/>
              <w:spacing w:after="0"/>
              <w:jc w:val="center"/>
              <w:rPr>
                <w:rFonts w:hint="eastAsia"/>
                <w:sz w:val="18"/>
                <w:szCs w:val="18"/>
              </w:rPr>
            </w:pPr>
            <w:r>
              <w:rPr>
                <w:rFonts w:hint="eastAsia"/>
                <w:spacing w:val="-2"/>
                <w:sz w:val="18"/>
                <w:szCs w:val="18"/>
              </w:rPr>
              <w:t>机外发射声功率级*</w:t>
            </w:r>
          </w:p>
        </w:tc>
        <w:tc>
          <w:tcPr>
            <w:tcW w:w="1484" w:type="dxa"/>
            <w:tcBorders>
              <w:tl2br w:val="nil"/>
              <w:tr2bl w:val="nil"/>
            </w:tcBorders>
            <w:vAlign w:val="center"/>
          </w:tcPr>
          <w:p w14:paraId="7D061021">
            <w:pPr>
              <w:pStyle w:val="13"/>
              <w:spacing w:after="0"/>
              <w:jc w:val="center"/>
              <w:rPr>
                <w:rFonts w:hint="eastAsia"/>
                <w:sz w:val="18"/>
                <w:szCs w:val="18"/>
              </w:rPr>
            </w:pPr>
            <w:r>
              <w:rPr>
                <w:rFonts w:hint="eastAsia"/>
                <w:spacing w:val="-2"/>
                <w:sz w:val="18"/>
                <w:szCs w:val="18"/>
              </w:rPr>
              <w:t>净功率 P≤15 kW</w:t>
            </w:r>
          </w:p>
        </w:tc>
        <w:tc>
          <w:tcPr>
            <w:tcW w:w="2030" w:type="dxa"/>
            <w:tcBorders>
              <w:tl2br w:val="nil"/>
              <w:tr2bl w:val="nil"/>
            </w:tcBorders>
            <w:vAlign w:val="center"/>
          </w:tcPr>
          <w:p w14:paraId="6CA5B287">
            <w:pPr>
              <w:pStyle w:val="13"/>
              <w:spacing w:after="0"/>
              <w:jc w:val="center"/>
              <w:rPr>
                <w:rFonts w:hint="eastAsia"/>
                <w:sz w:val="18"/>
                <w:szCs w:val="18"/>
              </w:rPr>
            </w:pPr>
            <w:r>
              <w:rPr>
                <w:rFonts w:hint="eastAsia"/>
                <w:spacing w:val="-2"/>
                <w:sz w:val="18"/>
                <w:szCs w:val="18"/>
              </w:rPr>
              <w:t>88</w:t>
            </w:r>
          </w:p>
        </w:tc>
        <w:tc>
          <w:tcPr>
            <w:tcW w:w="1774" w:type="dxa"/>
            <w:tcBorders>
              <w:tl2br w:val="nil"/>
              <w:tr2bl w:val="nil"/>
            </w:tcBorders>
            <w:vAlign w:val="center"/>
          </w:tcPr>
          <w:p w14:paraId="2BBEDEA7">
            <w:pPr>
              <w:pStyle w:val="13"/>
              <w:spacing w:after="0"/>
              <w:jc w:val="center"/>
              <w:rPr>
                <w:rFonts w:hint="eastAsia"/>
                <w:sz w:val="18"/>
                <w:szCs w:val="18"/>
              </w:rPr>
            </w:pPr>
            <w:r>
              <w:rPr>
                <w:rFonts w:hint="eastAsia"/>
                <w:spacing w:val="-2"/>
                <w:sz w:val="18"/>
                <w:szCs w:val="18"/>
              </w:rPr>
              <w:t>90</w:t>
            </w:r>
          </w:p>
        </w:tc>
        <w:tc>
          <w:tcPr>
            <w:tcW w:w="1776" w:type="dxa"/>
            <w:tcBorders>
              <w:tl2br w:val="nil"/>
              <w:tr2bl w:val="nil"/>
            </w:tcBorders>
            <w:vAlign w:val="center"/>
          </w:tcPr>
          <w:p w14:paraId="54707F03">
            <w:pPr>
              <w:pStyle w:val="13"/>
              <w:spacing w:after="0"/>
              <w:jc w:val="center"/>
              <w:rPr>
                <w:rFonts w:hint="eastAsia"/>
                <w:sz w:val="18"/>
                <w:szCs w:val="18"/>
              </w:rPr>
            </w:pPr>
            <w:r>
              <w:rPr>
                <w:rFonts w:hint="eastAsia"/>
                <w:spacing w:val="-2"/>
                <w:sz w:val="18"/>
                <w:szCs w:val="18"/>
              </w:rPr>
              <w:t>93</w:t>
            </w:r>
          </w:p>
        </w:tc>
      </w:tr>
      <w:tr w14:paraId="35515C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3" w:hRule="atLeast"/>
        </w:trPr>
        <w:tc>
          <w:tcPr>
            <w:tcW w:w="530" w:type="dxa"/>
            <w:vMerge w:val="continue"/>
            <w:tcBorders>
              <w:tl2br w:val="nil"/>
              <w:tr2bl w:val="nil"/>
            </w:tcBorders>
          </w:tcPr>
          <w:p w14:paraId="06F8C5E2">
            <w:pPr>
              <w:rPr>
                <w:rFonts w:hint="eastAsia" w:ascii="宋体" w:hAnsi="宋体" w:eastAsia="宋体" w:cs="宋体"/>
                <w:sz w:val="18"/>
                <w:szCs w:val="18"/>
              </w:rPr>
            </w:pPr>
          </w:p>
        </w:tc>
        <w:tc>
          <w:tcPr>
            <w:tcW w:w="584" w:type="dxa"/>
            <w:vMerge w:val="continue"/>
            <w:tcBorders>
              <w:tl2br w:val="nil"/>
              <w:tr2bl w:val="nil"/>
            </w:tcBorders>
            <w:vAlign w:val="center"/>
          </w:tcPr>
          <w:p w14:paraId="10CC17F1">
            <w:pPr>
              <w:jc w:val="center"/>
              <w:rPr>
                <w:rFonts w:hint="eastAsia" w:ascii="宋体" w:hAnsi="宋体" w:eastAsia="宋体" w:cs="宋体"/>
                <w:sz w:val="18"/>
                <w:szCs w:val="18"/>
              </w:rPr>
            </w:pPr>
          </w:p>
        </w:tc>
        <w:tc>
          <w:tcPr>
            <w:tcW w:w="736" w:type="dxa"/>
            <w:vMerge w:val="continue"/>
            <w:tcBorders>
              <w:tl2br w:val="nil"/>
              <w:tr2bl w:val="nil"/>
            </w:tcBorders>
            <w:vAlign w:val="center"/>
          </w:tcPr>
          <w:p w14:paraId="00BF2BCE">
            <w:pPr>
              <w:jc w:val="center"/>
              <w:rPr>
                <w:rFonts w:hint="eastAsia" w:ascii="宋体" w:hAnsi="宋体" w:eastAsia="宋体" w:cs="宋体"/>
                <w:sz w:val="18"/>
                <w:szCs w:val="18"/>
              </w:rPr>
            </w:pPr>
          </w:p>
        </w:tc>
        <w:tc>
          <w:tcPr>
            <w:tcW w:w="1484" w:type="dxa"/>
            <w:tcBorders>
              <w:tl2br w:val="nil"/>
              <w:tr2bl w:val="nil"/>
            </w:tcBorders>
            <w:vAlign w:val="center"/>
          </w:tcPr>
          <w:p w14:paraId="41003A9A">
            <w:pPr>
              <w:pStyle w:val="13"/>
              <w:spacing w:after="0"/>
              <w:jc w:val="center"/>
              <w:rPr>
                <w:rFonts w:hint="eastAsia"/>
                <w:sz w:val="18"/>
                <w:szCs w:val="18"/>
              </w:rPr>
            </w:pPr>
            <w:r>
              <w:rPr>
                <w:rFonts w:hint="eastAsia"/>
                <w:spacing w:val="-2"/>
                <w:sz w:val="18"/>
                <w:szCs w:val="18"/>
              </w:rPr>
              <w:t>净功率P＞15 kW</w:t>
            </w:r>
          </w:p>
        </w:tc>
        <w:tc>
          <w:tcPr>
            <w:tcW w:w="2030" w:type="dxa"/>
            <w:tcBorders>
              <w:tl2br w:val="nil"/>
              <w:tr2bl w:val="nil"/>
            </w:tcBorders>
            <w:vAlign w:val="center"/>
          </w:tcPr>
          <w:p w14:paraId="40D50BB3">
            <w:pPr>
              <w:pStyle w:val="13"/>
              <w:spacing w:after="0"/>
              <w:jc w:val="center"/>
              <w:rPr>
                <w:rFonts w:hint="eastAsia"/>
                <w:sz w:val="18"/>
                <w:szCs w:val="18"/>
              </w:rPr>
            </w:pPr>
            <w:r>
              <w:rPr>
                <w:rFonts w:hint="eastAsia"/>
                <w:spacing w:val="-2"/>
                <w:sz w:val="18"/>
                <w:szCs w:val="18"/>
              </w:rPr>
              <w:t>80+11lgP</w:t>
            </w:r>
          </w:p>
        </w:tc>
        <w:tc>
          <w:tcPr>
            <w:tcW w:w="1774" w:type="dxa"/>
            <w:tcBorders>
              <w:tl2br w:val="nil"/>
              <w:tr2bl w:val="nil"/>
            </w:tcBorders>
            <w:vAlign w:val="center"/>
          </w:tcPr>
          <w:p w14:paraId="482EAA98">
            <w:pPr>
              <w:pStyle w:val="13"/>
              <w:spacing w:after="0"/>
              <w:jc w:val="center"/>
              <w:rPr>
                <w:rFonts w:hint="eastAsia"/>
                <w:sz w:val="18"/>
                <w:szCs w:val="18"/>
              </w:rPr>
            </w:pPr>
            <w:r>
              <w:rPr>
                <w:rFonts w:hint="eastAsia"/>
                <w:spacing w:val="-2"/>
                <w:sz w:val="18"/>
                <w:szCs w:val="18"/>
              </w:rPr>
              <w:t>80.5+11lgP</w:t>
            </w:r>
          </w:p>
        </w:tc>
        <w:tc>
          <w:tcPr>
            <w:tcW w:w="1776" w:type="dxa"/>
            <w:tcBorders>
              <w:tl2br w:val="nil"/>
              <w:tr2bl w:val="nil"/>
            </w:tcBorders>
            <w:vAlign w:val="center"/>
          </w:tcPr>
          <w:p w14:paraId="41535785">
            <w:pPr>
              <w:pStyle w:val="13"/>
              <w:spacing w:after="0"/>
              <w:jc w:val="center"/>
              <w:rPr>
                <w:rFonts w:hint="eastAsia"/>
                <w:sz w:val="18"/>
                <w:szCs w:val="18"/>
              </w:rPr>
            </w:pPr>
            <w:r>
              <w:rPr>
                <w:rFonts w:hint="eastAsia"/>
                <w:spacing w:val="-2"/>
                <w:sz w:val="18"/>
                <w:szCs w:val="18"/>
              </w:rPr>
              <w:t>81.5+11lgP</w:t>
            </w:r>
          </w:p>
        </w:tc>
      </w:tr>
      <w:tr w14:paraId="2D258C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4" w:hRule="atLeast"/>
        </w:trPr>
        <w:tc>
          <w:tcPr>
            <w:tcW w:w="530" w:type="dxa"/>
            <w:vMerge w:val="restart"/>
            <w:tcBorders>
              <w:tl2br w:val="nil"/>
              <w:tr2bl w:val="nil"/>
            </w:tcBorders>
            <w:vAlign w:val="center"/>
          </w:tcPr>
          <w:p w14:paraId="0D44B37E">
            <w:pPr>
              <w:pStyle w:val="13"/>
              <w:spacing w:after="0"/>
              <w:jc w:val="center"/>
              <w:rPr>
                <w:rFonts w:hint="eastAsia"/>
                <w:spacing w:val="-2"/>
                <w:sz w:val="18"/>
                <w:szCs w:val="18"/>
              </w:rPr>
            </w:pPr>
          </w:p>
          <w:p w14:paraId="1FA6A3AB">
            <w:pPr>
              <w:pStyle w:val="13"/>
              <w:spacing w:after="0"/>
              <w:jc w:val="center"/>
              <w:rPr>
                <w:rFonts w:hint="eastAsia"/>
                <w:spacing w:val="-2"/>
                <w:sz w:val="18"/>
                <w:szCs w:val="18"/>
              </w:rPr>
            </w:pPr>
          </w:p>
          <w:p w14:paraId="56E1A81E">
            <w:pPr>
              <w:pStyle w:val="13"/>
              <w:spacing w:after="0"/>
              <w:jc w:val="center"/>
              <w:rPr>
                <w:rFonts w:hint="eastAsia"/>
                <w:spacing w:val="-2"/>
                <w:sz w:val="18"/>
                <w:szCs w:val="18"/>
              </w:rPr>
            </w:pPr>
            <w:r>
              <w:rPr>
                <w:rFonts w:hint="eastAsia"/>
                <w:spacing w:val="-2"/>
                <w:sz w:val="18"/>
                <w:szCs w:val="18"/>
              </w:rPr>
              <w:t>12</w:t>
            </w:r>
          </w:p>
        </w:tc>
        <w:tc>
          <w:tcPr>
            <w:tcW w:w="1320" w:type="dxa"/>
            <w:gridSpan w:val="2"/>
            <w:vMerge w:val="restart"/>
            <w:tcBorders>
              <w:tl2br w:val="nil"/>
              <w:tr2bl w:val="nil"/>
            </w:tcBorders>
            <w:vAlign w:val="center"/>
          </w:tcPr>
          <w:p w14:paraId="29FB6E4D">
            <w:pPr>
              <w:pStyle w:val="13"/>
              <w:spacing w:after="0"/>
              <w:jc w:val="center"/>
              <w:rPr>
                <w:rFonts w:hint="eastAsia"/>
                <w:spacing w:val="-2"/>
                <w:sz w:val="18"/>
                <w:szCs w:val="18"/>
              </w:rPr>
            </w:pPr>
          </w:p>
          <w:p w14:paraId="2DC34CED">
            <w:pPr>
              <w:pStyle w:val="13"/>
              <w:spacing w:after="0"/>
              <w:jc w:val="center"/>
              <w:rPr>
                <w:rFonts w:hint="eastAsia"/>
                <w:sz w:val="18"/>
                <w:szCs w:val="18"/>
              </w:rPr>
            </w:pPr>
            <w:r>
              <w:rPr>
                <w:rFonts w:hint="eastAsia"/>
                <w:spacing w:val="-2"/>
                <w:sz w:val="18"/>
                <w:szCs w:val="18"/>
              </w:rPr>
              <w:t>司机保护结构*</w:t>
            </w:r>
          </w:p>
        </w:tc>
        <w:tc>
          <w:tcPr>
            <w:tcW w:w="1484" w:type="dxa"/>
            <w:tcBorders>
              <w:tl2br w:val="nil"/>
              <w:tr2bl w:val="nil"/>
            </w:tcBorders>
            <w:vAlign w:val="center"/>
          </w:tcPr>
          <w:p w14:paraId="386AE87B">
            <w:pPr>
              <w:pStyle w:val="13"/>
              <w:spacing w:after="0"/>
              <w:jc w:val="center"/>
              <w:rPr>
                <w:rFonts w:hint="eastAsia"/>
                <w:spacing w:val="-2"/>
                <w:sz w:val="18"/>
                <w:szCs w:val="18"/>
              </w:rPr>
            </w:pPr>
            <w:r>
              <w:rPr>
                <w:rFonts w:hint="eastAsia"/>
                <w:spacing w:val="-2"/>
                <w:sz w:val="18"/>
                <w:szCs w:val="18"/>
              </w:rPr>
              <w:t>挖掘机工作质量</w:t>
            </w:r>
          </w:p>
          <w:p w14:paraId="78657BFD">
            <w:pPr>
              <w:pStyle w:val="13"/>
              <w:spacing w:after="0"/>
              <w:jc w:val="center"/>
              <w:rPr>
                <w:rFonts w:hint="eastAsia"/>
                <w:spacing w:val="-2"/>
                <w:sz w:val="18"/>
                <w:szCs w:val="18"/>
              </w:rPr>
            </w:pPr>
            <w:r>
              <w:rPr>
                <w:rFonts w:hint="eastAsia"/>
                <w:spacing w:val="-2"/>
                <w:sz w:val="18"/>
                <w:szCs w:val="18"/>
              </w:rPr>
              <w:t>≤6 吨</w:t>
            </w:r>
          </w:p>
        </w:tc>
        <w:tc>
          <w:tcPr>
            <w:tcW w:w="2030" w:type="dxa"/>
            <w:tcBorders>
              <w:tl2br w:val="nil"/>
              <w:tr2bl w:val="nil"/>
            </w:tcBorders>
            <w:vAlign w:val="center"/>
          </w:tcPr>
          <w:p w14:paraId="685299C9">
            <w:pPr>
              <w:pStyle w:val="13"/>
              <w:spacing w:after="0"/>
              <w:jc w:val="center"/>
              <w:rPr>
                <w:rFonts w:hint="eastAsia"/>
                <w:spacing w:val="-2"/>
                <w:sz w:val="18"/>
                <w:szCs w:val="18"/>
                <w:lang w:eastAsia="zh-CN"/>
              </w:rPr>
            </w:pPr>
            <w:r>
              <w:rPr>
                <w:rFonts w:hint="eastAsia"/>
                <w:spacing w:val="-2"/>
                <w:sz w:val="18"/>
                <w:szCs w:val="18"/>
                <w:lang w:eastAsia="zh-CN"/>
              </w:rPr>
              <w:t>配备司机防护装置（前防护和顶防护装置）和倾翻保护结构</w:t>
            </w:r>
          </w:p>
        </w:tc>
        <w:tc>
          <w:tcPr>
            <w:tcW w:w="1774" w:type="dxa"/>
            <w:tcBorders>
              <w:tl2br w:val="nil"/>
              <w:tr2bl w:val="nil"/>
            </w:tcBorders>
            <w:vAlign w:val="center"/>
          </w:tcPr>
          <w:p w14:paraId="43E29E0B">
            <w:pPr>
              <w:pStyle w:val="13"/>
              <w:spacing w:after="0"/>
              <w:jc w:val="center"/>
              <w:rPr>
                <w:rFonts w:hint="eastAsia"/>
                <w:sz w:val="18"/>
                <w:szCs w:val="18"/>
              </w:rPr>
            </w:pPr>
            <w:r>
              <w:rPr>
                <w:rFonts w:hint="eastAsia"/>
                <w:spacing w:val="-2"/>
                <w:sz w:val="18"/>
                <w:szCs w:val="18"/>
              </w:rPr>
              <w:t>配备倾翻保护结构</w:t>
            </w:r>
          </w:p>
        </w:tc>
        <w:tc>
          <w:tcPr>
            <w:tcW w:w="1776" w:type="dxa"/>
            <w:tcBorders>
              <w:tl2br w:val="nil"/>
              <w:tr2bl w:val="nil"/>
            </w:tcBorders>
            <w:vAlign w:val="center"/>
          </w:tcPr>
          <w:p w14:paraId="67D5E6A8">
            <w:pPr>
              <w:spacing w:line="282" w:lineRule="auto"/>
              <w:jc w:val="center"/>
              <w:rPr>
                <w:rFonts w:hint="eastAsia" w:ascii="宋体" w:hAnsi="宋体" w:eastAsia="宋体" w:cs="宋体"/>
                <w:sz w:val="18"/>
                <w:szCs w:val="18"/>
              </w:rPr>
            </w:pPr>
          </w:p>
          <w:p w14:paraId="13FEB2FF">
            <w:pPr>
              <w:pStyle w:val="13"/>
              <w:spacing w:after="0"/>
              <w:jc w:val="center"/>
              <w:rPr>
                <w:rFonts w:hint="eastAsia"/>
                <w:sz w:val="18"/>
                <w:szCs w:val="18"/>
              </w:rPr>
            </w:pPr>
            <w:r>
              <w:rPr>
                <w:rFonts w:hint="eastAsia"/>
                <w:spacing w:val="-2"/>
                <w:sz w:val="18"/>
                <w:szCs w:val="18"/>
              </w:rPr>
              <w:t>—</w:t>
            </w:r>
          </w:p>
        </w:tc>
      </w:tr>
      <w:tr w14:paraId="5BCE1A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3" w:hRule="atLeast"/>
        </w:trPr>
        <w:tc>
          <w:tcPr>
            <w:tcW w:w="530" w:type="dxa"/>
            <w:vMerge w:val="continue"/>
            <w:tcBorders>
              <w:tl2br w:val="nil"/>
              <w:tr2bl w:val="nil"/>
            </w:tcBorders>
            <w:vAlign w:val="center"/>
          </w:tcPr>
          <w:p w14:paraId="14935B03">
            <w:pPr>
              <w:pStyle w:val="13"/>
              <w:spacing w:after="0"/>
              <w:jc w:val="center"/>
              <w:rPr>
                <w:rFonts w:hint="eastAsia"/>
                <w:spacing w:val="-2"/>
                <w:sz w:val="18"/>
                <w:szCs w:val="18"/>
              </w:rPr>
            </w:pPr>
          </w:p>
        </w:tc>
        <w:tc>
          <w:tcPr>
            <w:tcW w:w="1320" w:type="dxa"/>
            <w:gridSpan w:val="2"/>
            <w:vMerge w:val="continue"/>
            <w:tcBorders>
              <w:tl2br w:val="nil"/>
              <w:tr2bl w:val="nil"/>
            </w:tcBorders>
            <w:vAlign w:val="center"/>
          </w:tcPr>
          <w:p w14:paraId="74174D77">
            <w:pPr>
              <w:jc w:val="center"/>
              <w:rPr>
                <w:rFonts w:hint="eastAsia" w:ascii="宋体" w:hAnsi="宋体" w:eastAsia="宋体" w:cs="宋体"/>
                <w:sz w:val="18"/>
                <w:szCs w:val="18"/>
              </w:rPr>
            </w:pPr>
          </w:p>
        </w:tc>
        <w:tc>
          <w:tcPr>
            <w:tcW w:w="1484" w:type="dxa"/>
            <w:tcBorders>
              <w:tl2br w:val="nil"/>
              <w:tr2bl w:val="nil"/>
            </w:tcBorders>
            <w:vAlign w:val="center"/>
          </w:tcPr>
          <w:p w14:paraId="3D03C418">
            <w:pPr>
              <w:pStyle w:val="13"/>
              <w:spacing w:after="0"/>
              <w:jc w:val="center"/>
              <w:rPr>
                <w:rFonts w:hint="eastAsia"/>
                <w:spacing w:val="-2"/>
                <w:sz w:val="18"/>
                <w:szCs w:val="18"/>
              </w:rPr>
            </w:pPr>
            <w:r>
              <w:rPr>
                <w:rFonts w:hint="eastAsia"/>
                <w:spacing w:val="-2"/>
                <w:sz w:val="18"/>
                <w:szCs w:val="18"/>
              </w:rPr>
              <w:t>挖掘机工作质量</w:t>
            </w:r>
          </w:p>
          <w:p w14:paraId="54869BEB">
            <w:pPr>
              <w:pStyle w:val="13"/>
              <w:spacing w:after="0"/>
              <w:jc w:val="center"/>
              <w:rPr>
                <w:rFonts w:hint="eastAsia"/>
                <w:sz w:val="18"/>
                <w:szCs w:val="18"/>
              </w:rPr>
            </w:pPr>
            <w:r>
              <w:rPr>
                <w:rFonts w:hint="eastAsia"/>
                <w:spacing w:val="-2"/>
                <w:sz w:val="18"/>
                <w:szCs w:val="18"/>
              </w:rPr>
              <w:t>＞6 吨</w:t>
            </w:r>
          </w:p>
        </w:tc>
        <w:tc>
          <w:tcPr>
            <w:tcW w:w="2030" w:type="dxa"/>
            <w:tcBorders>
              <w:tl2br w:val="nil"/>
              <w:tr2bl w:val="nil"/>
            </w:tcBorders>
            <w:vAlign w:val="center"/>
          </w:tcPr>
          <w:p w14:paraId="4B185FFC">
            <w:pPr>
              <w:pStyle w:val="13"/>
              <w:spacing w:after="0"/>
              <w:jc w:val="center"/>
              <w:rPr>
                <w:rFonts w:hint="eastAsia"/>
                <w:sz w:val="18"/>
                <w:szCs w:val="18"/>
                <w:lang w:eastAsia="zh-CN"/>
              </w:rPr>
            </w:pPr>
            <w:r>
              <w:rPr>
                <w:rFonts w:hint="eastAsia"/>
                <w:spacing w:val="-2"/>
                <w:sz w:val="18"/>
                <w:szCs w:val="18"/>
                <w:lang w:eastAsia="zh-CN"/>
              </w:rPr>
              <w:t>配备司机防护装置（前防护和顶防护装置）和滚翻保护结构</w:t>
            </w:r>
          </w:p>
        </w:tc>
        <w:tc>
          <w:tcPr>
            <w:tcW w:w="1774" w:type="dxa"/>
            <w:tcBorders>
              <w:tl2br w:val="nil"/>
              <w:tr2bl w:val="nil"/>
            </w:tcBorders>
            <w:vAlign w:val="center"/>
          </w:tcPr>
          <w:p w14:paraId="012729AE">
            <w:pPr>
              <w:pStyle w:val="13"/>
              <w:spacing w:after="0"/>
              <w:jc w:val="center"/>
              <w:rPr>
                <w:rFonts w:hint="eastAsia"/>
                <w:sz w:val="18"/>
                <w:szCs w:val="18"/>
              </w:rPr>
            </w:pPr>
            <w:r>
              <w:rPr>
                <w:rFonts w:hint="eastAsia"/>
                <w:spacing w:val="-2"/>
                <w:sz w:val="18"/>
                <w:szCs w:val="18"/>
              </w:rPr>
              <w:t>配备滚翻保护结构</w:t>
            </w:r>
          </w:p>
        </w:tc>
        <w:tc>
          <w:tcPr>
            <w:tcW w:w="1776" w:type="dxa"/>
            <w:tcBorders>
              <w:tl2br w:val="nil"/>
              <w:tr2bl w:val="nil"/>
            </w:tcBorders>
            <w:vAlign w:val="center"/>
          </w:tcPr>
          <w:p w14:paraId="5676B799">
            <w:pPr>
              <w:spacing w:line="277" w:lineRule="auto"/>
              <w:jc w:val="center"/>
              <w:rPr>
                <w:rFonts w:hint="eastAsia" w:ascii="宋体" w:hAnsi="宋体" w:eastAsia="宋体" w:cs="宋体"/>
                <w:sz w:val="18"/>
                <w:szCs w:val="18"/>
              </w:rPr>
            </w:pPr>
          </w:p>
          <w:p w14:paraId="236E5C0D">
            <w:pPr>
              <w:pStyle w:val="13"/>
              <w:spacing w:after="0"/>
              <w:jc w:val="center"/>
              <w:rPr>
                <w:rFonts w:hint="eastAsia"/>
                <w:sz w:val="18"/>
                <w:szCs w:val="18"/>
              </w:rPr>
            </w:pPr>
            <w:r>
              <w:rPr>
                <w:rFonts w:hint="eastAsia"/>
                <w:spacing w:val="-2"/>
                <w:sz w:val="18"/>
                <w:szCs w:val="18"/>
              </w:rPr>
              <w:t>—</w:t>
            </w:r>
          </w:p>
        </w:tc>
      </w:tr>
      <w:tr w14:paraId="6D4593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530" w:type="dxa"/>
            <w:vMerge w:val="restart"/>
            <w:tcBorders>
              <w:tl2br w:val="nil"/>
              <w:tr2bl w:val="nil"/>
            </w:tcBorders>
            <w:vAlign w:val="center"/>
          </w:tcPr>
          <w:p w14:paraId="0CCDB27E">
            <w:pPr>
              <w:pStyle w:val="13"/>
              <w:spacing w:after="0"/>
              <w:jc w:val="center"/>
              <w:rPr>
                <w:rFonts w:hint="eastAsia"/>
                <w:spacing w:val="-2"/>
                <w:sz w:val="18"/>
                <w:szCs w:val="18"/>
              </w:rPr>
            </w:pPr>
            <w:r>
              <w:rPr>
                <w:rFonts w:hint="eastAsia"/>
                <w:spacing w:val="-2"/>
                <w:sz w:val="18"/>
                <w:szCs w:val="18"/>
              </w:rPr>
              <w:t>13</w:t>
            </w:r>
          </w:p>
        </w:tc>
        <w:tc>
          <w:tcPr>
            <w:tcW w:w="584" w:type="dxa"/>
            <w:vMerge w:val="restart"/>
            <w:tcBorders>
              <w:tl2br w:val="nil"/>
              <w:tr2bl w:val="nil"/>
            </w:tcBorders>
            <w:vAlign w:val="center"/>
          </w:tcPr>
          <w:p w14:paraId="4A455654">
            <w:pPr>
              <w:pStyle w:val="13"/>
              <w:spacing w:after="0"/>
              <w:jc w:val="center"/>
              <w:rPr>
                <w:rFonts w:hint="eastAsia"/>
                <w:sz w:val="18"/>
                <w:szCs w:val="18"/>
              </w:rPr>
            </w:pPr>
            <w:r>
              <w:rPr>
                <w:rFonts w:hint="eastAsia"/>
                <w:spacing w:val="-2"/>
                <w:sz w:val="18"/>
                <w:szCs w:val="18"/>
              </w:rPr>
              <w:t>可靠性</w:t>
            </w:r>
          </w:p>
        </w:tc>
        <w:tc>
          <w:tcPr>
            <w:tcW w:w="736" w:type="dxa"/>
            <w:vMerge w:val="restart"/>
            <w:tcBorders>
              <w:tl2br w:val="nil"/>
              <w:tr2bl w:val="nil"/>
            </w:tcBorders>
            <w:vAlign w:val="center"/>
          </w:tcPr>
          <w:p w14:paraId="610DA416">
            <w:pPr>
              <w:pStyle w:val="13"/>
              <w:spacing w:after="0"/>
              <w:jc w:val="center"/>
              <w:rPr>
                <w:rFonts w:hint="eastAsia"/>
                <w:sz w:val="18"/>
                <w:szCs w:val="18"/>
              </w:rPr>
            </w:pPr>
            <w:r>
              <w:rPr>
                <w:rFonts w:hint="eastAsia"/>
                <w:spacing w:val="-2"/>
                <w:sz w:val="18"/>
                <w:szCs w:val="18"/>
              </w:rPr>
              <w:t>平均失效间隔时间*</w:t>
            </w:r>
          </w:p>
        </w:tc>
        <w:tc>
          <w:tcPr>
            <w:tcW w:w="1484" w:type="dxa"/>
            <w:tcBorders>
              <w:tl2br w:val="nil"/>
              <w:tr2bl w:val="nil"/>
            </w:tcBorders>
            <w:vAlign w:val="center"/>
          </w:tcPr>
          <w:p w14:paraId="635CDC72">
            <w:pPr>
              <w:pStyle w:val="13"/>
              <w:spacing w:after="0"/>
              <w:jc w:val="center"/>
              <w:rPr>
                <w:rFonts w:hint="eastAsia"/>
                <w:spacing w:val="-2"/>
                <w:sz w:val="18"/>
                <w:szCs w:val="18"/>
              </w:rPr>
            </w:pPr>
            <w:r>
              <w:rPr>
                <w:rFonts w:hint="eastAsia"/>
                <w:spacing w:val="-2"/>
                <w:sz w:val="18"/>
                <w:szCs w:val="18"/>
              </w:rPr>
              <w:t>挖掘机工作质量</w:t>
            </w:r>
          </w:p>
          <w:p w14:paraId="7C81F64C">
            <w:pPr>
              <w:pStyle w:val="13"/>
              <w:spacing w:after="0"/>
              <w:jc w:val="center"/>
              <w:rPr>
                <w:rFonts w:hint="eastAsia"/>
                <w:sz w:val="18"/>
                <w:szCs w:val="18"/>
              </w:rPr>
            </w:pPr>
            <w:r>
              <w:rPr>
                <w:rFonts w:hint="eastAsia"/>
                <w:spacing w:val="-2"/>
                <w:sz w:val="18"/>
                <w:szCs w:val="18"/>
              </w:rPr>
              <w:t>≤6 吨</w:t>
            </w:r>
          </w:p>
        </w:tc>
        <w:tc>
          <w:tcPr>
            <w:tcW w:w="2030" w:type="dxa"/>
            <w:tcBorders>
              <w:tl2br w:val="nil"/>
              <w:tr2bl w:val="nil"/>
            </w:tcBorders>
            <w:vAlign w:val="center"/>
          </w:tcPr>
          <w:p w14:paraId="20D2CF9A">
            <w:pPr>
              <w:pStyle w:val="13"/>
              <w:spacing w:after="0"/>
              <w:jc w:val="center"/>
              <w:rPr>
                <w:rFonts w:hint="eastAsia"/>
                <w:spacing w:val="-2"/>
                <w:sz w:val="18"/>
                <w:szCs w:val="18"/>
              </w:rPr>
            </w:pPr>
            <w:r>
              <w:rPr>
                <w:rFonts w:hint="eastAsia"/>
                <w:spacing w:val="-2"/>
                <w:sz w:val="18"/>
                <w:szCs w:val="18"/>
              </w:rPr>
              <w:t>380</w:t>
            </w:r>
          </w:p>
        </w:tc>
        <w:tc>
          <w:tcPr>
            <w:tcW w:w="1774" w:type="dxa"/>
            <w:tcBorders>
              <w:tl2br w:val="nil"/>
              <w:tr2bl w:val="nil"/>
            </w:tcBorders>
            <w:vAlign w:val="center"/>
          </w:tcPr>
          <w:p w14:paraId="52730283">
            <w:pPr>
              <w:pStyle w:val="13"/>
              <w:spacing w:after="0"/>
              <w:jc w:val="center"/>
              <w:rPr>
                <w:rFonts w:hint="eastAsia"/>
                <w:spacing w:val="-2"/>
                <w:sz w:val="18"/>
                <w:szCs w:val="18"/>
              </w:rPr>
            </w:pPr>
            <w:r>
              <w:rPr>
                <w:rFonts w:hint="eastAsia"/>
                <w:spacing w:val="-2"/>
                <w:sz w:val="18"/>
                <w:szCs w:val="18"/>
              </w:rPr>
              <w:t>350</w:t>
            </w:r>
          </w:p>
        </w:tc>
        <w:tc>
          <w:tcPr>
            <w:tcW w:w="1776" w:type="dxa"/>
            <w:tcBorders>
              <w:tl2br w:val="nil"/>
              <w:tr2bl w:val="nil"/>
            </w:tcBorders>
            <w:vAlign w:val="center"/>
          </w:tcPr>
          <w:p w14:paraId="213444F1">
            <w:pPr>
              <w:pStyle w:val="13"/>
              <w:spacing w:after="0"/>
              <w:jc w:val="center"/>
              <w:rPr>
                <w:rFonts w:hint="eastAsia"/>
                <w:spacing w:val="-2"/>
                <w:sz w:val="18"/>
                <w:szCs w:val="18"/>
              </w:rPr>
            </w:pPr>
            <w:r>
              <w:rPr>
                <w:rFonts w:hint="eastAsia"/>
                <w:spacing w:val="-2"/>
                <w:sz w:val="18"/>
                <w:szCs w:val="18"/>
              </w:rPr>
              <w:t>300</w:t>
            </w:r>
          </w:p>
        </w:tc>
      </w:tr>
      <w:tr w14:paraId="17999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29" w:hRule="atLeast"/>
        </w:trPr>
        <w:tc>
          <w:tcPr>
            <w:tcW w:w="530" w:type="dxa"/>
            <w:vMerge w:val="continue"/>
            <w:tcBorders>
              <w:tl2br w:val="nil"/>
              <w:tr2bl w:val="nil"/>
            </w:tcBorders>
            <w:vAlign w:val="center"/>
          </w:tcPr>
          <w:p w14:paraId="2146559C">
            <w:pPr>
              <w:pStyle w:val="13"/>
              <w:spacing w:after="0"/>
              <w:jc w:val="center"/>
              <w:rPr>
                <w:rFonts w:hint="eastAsia"/>
                <w:spacing w:val="-2"/>
                <w:sz w:val="18"/>
                <w:szCs w:val="18"/>
              </w:rPr>
            </w:pPr>
          </w:p>
        </w:tc>
        <w:tc>
          <w:tcPr>
            <w:tcW w:w="584" w:type="dxa"/>
            <w:vMerge w:val="continue"/>
            <w:tcBorders>
              <w:tl2br w:val="nil"/>
              <w:tr2bl w:val="nil"/>
            </w:tcBorders>
            <w:vAlign w:val="center"/>
          </w:tcPr>
          <w:p w14:paraId="224F10B9">
            <w:pPr>
              <w:jc w:val="center"/>
              <w:rPr>
                <w:rFonts w:hint="eastAsia" w:ascii="宋体" w:hAnsi="宋体" w:eastAsia="宋体" w:cs="宋体"/>
                <w:sz w:val="18"/>
                <w:szCs w:val="18"/>
              </w:rPr>
            </w:pPr>
          </w:p>
        </w:tc>
        <w:tc>
          <w:tcPr>
            <w:tcW w:w="736" w:type="dxa"/>
            <w:vMerge w:val="continue"/>
            <w:tcBorders>
              <w:tl2br w:val="nil"/>
              <w:tr2bl w:val="nil"/>
            </w:tcBorders>
            <w:vAlign w:val="center"/>
          </w:tcPr>
          <w:p w14:paraId="4E4154E2">
            <w:pPr>
              <w:jc w:val="center"/>
              <w:rPr>
                <w:rFonts w:hint="eastAsia" w:ascii="宋体" w:hAnsi="宋体" w:eastAsia="宋体" w:cs="宋体"/>
                <w:sz w:val="18"/>
                <w:szCs w:val="18"/>
              </w:rPr>
            </w:pPr>
          </w:p>
        </w:tc>
        <w:tc>
          <w:tcPr>
            <w:tcW w:w="1484" w:type="dxa"/>
            <w:tcBorders>
              <w:tl2br w:val="nil"/>
              <w:tr2bl w:val="nil"/>
            </w:tcBorders>
            <w:vAlign w:val="center"/>
          </w:tcPr>
          <w:p w14:paraId="3B624D79">
            <w:pPr>
              <w:pStyle w:val="13"/>
              <w:spacing w:after="0"/>
              <w:jc w:val="center"/>
              <w:rPr>
                <w:rFonts w:hint="eastAsia"/>
                <w:spacing w:val="-2"/>
                <w:sz w:val="18"/>
                <w:szCs w:val="18"/>
              </w:rPr>
            </w:pPr>
            <w:r>
              <w:rPr>
                <w:rFonts w:hint="eastAsia"/>
                <w:spacing w:val="-2"/>
                <w:sz w:val="18"/>
                <w:szCs w:val="18"/>
              </w:rPr>
              <w:t>挖掘机工作质量</w:t>
            </w:r>
          </w:p>
          <w:p w14:paraId="4542FFF6">
            <w:pPr>
              <w:pStyle w:val="13"/>
              <w:spacing w:after="0"/>
              <w:jc w:val="center"/>
              <w:rPr>
                <w:rFonts w:hint="eastAsia"/>
                <w:sz w:val="18"/>
                <w:szCs w:val="18"/>
              </w:rPr>
            </w:pPr>
            <w:r>
              <w:rPr>
                <w:rFonts w:hint="eastAsia"/>
                <w:spacing w:val="-2"/>
                <w:sz w:val="18"/>
                <w:szCs w:val="18"/>
              </w:rPr>
              <w:t>＞6 吨</w:t>
            </w:r>
          </w:p>
        </w:tc>
        <w:tc>
          <w:tcPr>
            <w:tcW w:w="2030" w:type="dxa"/>
            <w:tcBorders>
              <w:tl2br w:val="nil"/>
              <w:tr2bl w:val="nil"/>
            </w:tcBorders>
            <w:vAlign w:val="center"/>
          </w:tcPr>
          <w:p w14:paraId="36625483">
            <w:pPr>
              <w:pStyle w:val="13"/>
              <w:spacing w:after="0"/>
              <w:jc w:val="center"/>
              <w:rPr>
                <w:rFonts w:hint="eastAsia"/>
                <w:spacing w:val="-2"/>
                <w:sz w:val="18"/>
                <w:szCs w:val="18"/>
              </w:rPr>
            </w:pPr>
            <w:r>
              <w:rPr>
                <w:rFonts w:hint="eastAsia"/>
                <w:spacing w:val="-2"/>
                <w:sz w:val="18"/>
                <w:szCs w:val="18"/>
              </w:rPr>
              <w:t>700</w:t>
            </w:r>
          </w:p>
        </w:tc>
        <w:tc>
          <w:tcPr>
            <w:tcW w:w="1774" w:type="dxa"/>
            <w:tcBorders>
              <w:tl2br w:val="nil"/>
              <w:tr2bl w:val="nil"/>
            </w:tcBorders>
            <w:vAlign w:val="center"/>
          </w:tcPr>
          <w:p w14:paraId="7550FEC0">
            <w:pPr>
              <w:pStyle w:val="13"/>
              <w:spacing w:after="0"/>
              <w:jc w:val="center"/>
              <w:rPr>
                <w:rFonts w:hint="eastAsia"/>
                <w:spacing w:val="-2"/>
                <w:sz w:val="18"/>
                <w:szCs w:val="18"/>
              </w:rPr>
            </w:pPr>
            <w:r>
              <w:rPr>
                <w:rFonts w:hint="eastAsia"/>
                <w:spacing w:val="-2"/>
                <w:sz w:val="18"/>
                <w:szCs w:val="18"/>
              </w:rPr>
              <w:t>650</w:t>
            </w:r>
          </w:p>
        </w:tc>
        <w:tc>
          <w:tcPr>
            <w:tcW w:w="1776" w:type="dxa"/>
            <w:tcBorders>
              <w:tl2br w:val="nil"/>
              <w:tr2bl w:val="nil"/>
            </w:tcBorders>
            <w:vAlign w:val="center"/>
          </w:tcPr>
          <w:p w14:paraId="3F4A11CC">
            <w:pPr>
              <w:pStyle w:val="13"/>
              <w:spacing w:after="0"/>
              <w:jc w:val="center"/>
              <w:rPr>
                <w:rFonts w:hint="eastAsia"/>
                <w:spacing w:val="-2"/>
                <w:sz w:val="18"/>
                <w:szCs w:val="18"/>
              </w:rPr>
            </w:pPr>
            <w:r>
              <w:rPr>
                <w:rFonts w:hint="eastAsia"/>
                <w:spacing w:val="-2"/>
                <w:sz w:val="18"/>
                <w:szCs w:val="18"/>
              </w:rPr>
              <w:t>600</w:t>
            </w:r>
          </w:p>
        </w:tc>
      </w:tr>
      <w:tr w14:paraId="041465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7A4E36CB">
            <w:pPr>
              <w:pStyle w:val="13"/>
              <w:spacing w:after="0"/>
              <w:jc w:val="center"/>
              <w:rPr>
                <w:rFonts w:hint="eastAsia"/>
                <w:spacing w:val="-2"/>
                <w:sz w:val="18"/>
                <w:szCs w:val="18"/>
              </w:rPr>
            </w:pPr>
            <w:r>
              <w:rPr>
                <w:rFonts w:hint="eastAsia"/>
                <w:spacing w:val="-2"/>
                <w:sz w:val="18"/>
                <w:szCs w:val="18"/>
              </w:rPr>
              <w:t>14</w:t>
            </w:r>
          </w:p>
        </w:tc>
        <w:tc>
          <w:tcPr>
            <w:tcW w:w="584" w:type="dxa"/>
            <w:vMerge w:val="continue"/>
            <w:tcBorders>
              <w:tl2br w:val="nil"/>
              <w:tr2bl w:val="nil"/>
            </w:tcBorders>
            <w:vAlign w:val="center"/>
          </w:tcPr>
          <w:p w14:paraId="2598F113">
            <w:pPr>
              <w:jc w:val="center"/>
              <w:rPr>
                <w:rFonts w:hint="eastAsia" w:ascii="宋体" w:hAnsi="宋体" w:eastAsia="宋体" w:cs="宋体"/>
                <w:sz w:val="18"/>
                <w:szCs w:val="18"/>
              </w:rPr>
            </w:pPr>
          </w:p>
        </w:tc>
        <w:tc>
          <w:tcPr>
            <w:tcW w:w="2220" w:type="dxa"/>
            <w:gridSpan w:val="2"/>
            <w:tcBorders>
              <w:tl2br w:val="nil"/>
              <w:tr2bl w:val="nil"/>
            </w:tcBorders>
            <w:vAlign w:val="center"/>
          </w:tcPr>
          <w:p w14:paraId="77652BF5">
            <w:pPr>
              <w:pStyle w:val="13"/>
              <w:spacing w:after="0"/>
              <w:jc w:val="center"/>
              <w:rPr>
                <w:rFonts w:hint="eastAsia"/>
                <w:spacing w:val="-2"/>
                <w:sz w:val="18"/>
                <w:szCs w:val="18"/>
              </w:rPr>
            </w:pPr>
            <w:r>
              <w:rPr>
                <w:rFonts w:hint="eastAsia"/>
                <w:spacing w:val="-2"/>
                <w:sz w:val="18"/>
                <w:szCs w:val="18"/>
              </w:rPr>
              <w:t>工作可用度*</w:t>
            </w:r>
          </w:p>
        </w:tc>
        <w:tc>
          <w:tcPr>
            <w:tcW w:w="2030" w:type="dxa"/>
            <w:tcBorders>
              <w:tl2br w:val="nil"/>
              <w:tr2bl w:val="nil"/>
            </w:tcBorders>
            <w:vAlign w:val="center"/>
          </w:tcPr>
          <w:p w14:paraId="7F544FD5">
            <w:pPr>
              <w:pStyle w:val="13"/>
              <w:spacing w:after="0"/>
              <w:jc w:val="center"/>
              <w:rPr>
                <w:rFonts w:hint="eastAsia"/>
                <w:spacing w:val="-2"/>
                <w:sz w:val="18"/>
                <w:szCs w:val="18"/>
              </w:rPr>
            </w:pPr>
            <w:r>
              <w:rPr>
                <w:rFonts w:hint="eastAsia"/>
                <w:spacing w:val="-2"/>
                <w:sz w:val="18"/>
                <w:szCs w:val="18"/>
              </w:rPr>
              <w:t>95%</w:t>
            </w:r>
          </w:p>
        </w:tc>
        <w:tc>
          <w:tcPr>
            <w:tcW w:w="1774" w:type="dxa"/>
            <w:tcBorders>
              <w:tl2br w:val="nil"/>
              <w:tr2bl w:val="nil"/>
            </w:tcBorders>
            <w:vAlign w:val="center"/>
          </w:tcPr>
          <w:p w14:paraId="6087AC11">
            <w:pPr>
              <w:pStyle w:val="13"/>
              <w:spacing w:after="0"/>
              <w:jc w:val="center"/>
              <w:rPr>
                <w:rFonts w:hint="eastAsia"/>
                <w:spacing w:val="-2"/>
                <w:sz w:val="18"/>
                <w:szCs w:val="18"/>
              </w:rPr>
            </w:pPr>
            <w:r>
              <w:rPr>
                <w:rFonts w:hint="eastAsia"/>
                <w:spacing w:val="-2"/>
                <w:sz w:val="18"/>
                <w:szCs w:val="18"/>
              </w:rPr>
              <w:t>93%</w:t>
            </w:r>
          </w:p>
        </w:tc>
        <w:tc>
          <w:tcPr>
            <w:tcW w:w="1776" w:type="dxa"/>
            <w:tcBorders>
              <w:tl2br w:val="nil"/>
              <w:tr2bl w:val="nil"/>
            </w:tcBorders>
            <w:vAlign w:val="center"/>
          </w:tcPr>
          <w:p w14:paraId="4FE0F499">
            <w:pPr>
              <w:pStyle w:val="13"/>
              <w:spacing w:after="0"/>
              <w:jc w:val="center"/>
              <w:rPr>
                <w:rFonts w:hint="eastAsia"/>
                <w:spacing w:val="-2"/>
                <w:sz w:val="18"/>
                <w:szCs w:val="18"/>
              </w:rPr>
            </w:pPr>
            <w:r>
              <w:rPr>
                <w:rFonts w:hint="eastAsia"/>
                <w:spacing w:val="-2"/>
                <w:sz w:val="18"/>
                <w:szCs w:val="18"/>
              </w:rPr>
              <w:t>90%</w:t>
            </w:r>
          </w:p>
        </w:tc>
      </w:tr>
      <w:tr w14:paraId="2A517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trPr>
        <w:tc>
          <w:tcPr>
            <w:tcW w:w="530" w:type="dxa"/>
            <w:tcBorders>
              <w:tl2br w:val="nil"/>
              <w:tr2bl w:val="nil"/>
            </w:tcBorders>
            <w:vAlign w:val="center"/>
          </w:tcPr>
          <w:p w14:paraId="1D758AE7">
            <w:pPr>
              <w:pStyle w:val="13"/>
              <w:spacing w:after="0"/>
              <w:jc w:val="center"/>
              <w:rPr>
                <w:rFonts w:hint="eastAsia"/>
                <w:spacing w:val="-2"/>
                <w:sz w:val="18"/>
                <w:szCs w:val="18"/>
              </w:rPr>
            </w:pPr>
            <w:r>
              <w:rPr>
                <w:rFonts w:hint="eastAsia"/>
                <w:spacing w:val="-2"/>
                <w:sz w:val="18"/>
                <w:szCs w:val="18"/>
              </w:rPr>
              <w:t>15</w:t>
            </w:r>
          </w:p>
        </w:tc>
        <w:tc>
          <w:tcPr>
            <w:tcW w:w="2804" w:type="dxa"/>
            <w:gridSpan w:val="3"/>
            <w:tcBorders>
              <w:tl2br w:val="nil"/>
              <w:tr2bl w:val="nil"/>
            </w:tcBorders>
            <w:vAlign w:val="center"/>
          </w:tcPr>
          <w:p w14:paraId="415E77F7">
            <w:pPr>
              <w:pStyle w:val="13"/>
              <w:spacing w:after="0"/>
              <w:jc w:val="center"/>
              <w:rPr>
                <w:rFonts w:hint="eastAsia"/>
                <w:spacing w:val="-2"/>
                <w:sz w:val="18"/>
                <w:szCs w:val="18"/>
              </w:rPr>
            </w:pPr>
            <w:r>
              <w:rPr>
                <w:rFonts w:hint="eastAsia"/>
                <w:spacing w:val="-2"/>
                <w:sz w:val="18"/>
                <w:szCs w:val="18"/>
              </w:rPr>
              <w:t>全身振动*</w:t>
            </w:r>
          </w:p>
        </w:tc>
        <w:tc>
          <w:tcPr>
            <w:tcW w:w="2030" w:type="dxa"/>
            <w:tcBorders>
              <w:tl2br w:val="nil"/>
              <w:tr2bl w:val="nil"/>
            </w:tcBorders>
            <w:vAlign w:val="center"/>
          </w:tcPr>
          <w:p w14:paraId="602D1379">
            <w:pPr>
              <w:pStyle w:val="13"/>
              <w:spacing w:after="0"/>
              <w:jc w:val="center"/>
              <w:rPr>
                <w:rFonts w:hint="eastAsia"/>
                <w:spacing w:val="-2"/>
                <w:sz w:val="18"/>
                <w:szCs w:val="18"/>
              </w:rPr>
            </w:pPr>
            <w:r>
              <w:rPr>
                <w:rFonts w:hint="eastAsia"/>
                <w:spacing w:val="-2"/>
                <w:sz w:val="18"/>
                <w:szCs w:val="18"/>
              </w:rPr>
              <w:t>≤0.5 m/s2</w:t>
            </w:r>
          </w:p>
        </w:tc>
        <w:tc>
          <w:tcPr>
            <w:tcW w:w="1774" w:type="dxa"/>
            <w:tcBorders>
              <w:tl2br w:val="nil"/>
              <w:tr2bl w:val="nil"/>
            </w:tcBorders>
            <w:vAlign w:val="center"/>
          </w:tcPr>
          <w:p w14:paraId="3C50F381">
            <w:pPr>
              <w:pStyle w:val="13"/>
              <w:spacing w:after="0"/>
              <w:jc w:val="center"/>
              <w:rPr>
                <w:rFonts w:hint="eastAsia"/>
                <w:spacing w:val="-2"/>
                <w:sz w:val="18"/>
                <w:szCs w:val="18"/>
              </w:rPr>
            </w:pPr>
            <w:r>
              <w:rPr>
                <w:rFonts w:hint="eastAsia"/>
                <w:spacing w:val="-2"/>
                <w:sz w:val="18"/>
                <w:szCs w:val="18"/>
              </w:rPr>
              <w:t>0.5 m/s2～1.15 m/s2</w:t>
            </w:r>
          </w:p>
        </w:tc>
        <w:tc>
          <w:tcPr>
            <w:tcW w:w="1776" w:type="dxa"/>
            <w:tcBorders>
              <w:tl2br w:val="nil"/>
              <w:tr2bl w:val="nil"/>
            </w:tcBorders>
            <w:vAlign w:val="center"/>
          </w:tcPr>
          <w:p w14:paraId="089A80F2">
            <w:pPr>
              <w:pStyle w:val="13"/>
              <w:spacing w:after="0"/>
              <w:jc w:val="center"/>
              <w:rPr>
                <w:rFonts w:hint="eastAsia"/>
                <w:spacing w:val="-2"/>
                <w:sz w:val="18"/>
                <w:szCs w:val="18"/>
              </w:rPr>
            </w:pPr>
            <w:r>
              <w:rPr>
                <w:rFonts w:hint="eastAsia"/>
                <w:spacing w:val="-2"/>
                <w:sz w:val="18"/>
                <w:szCs w:val="18"/>
              </w:rPr>
              <w:t>—</w:t>
            </w:r>
          </w:p>
        </w:tc>
      </w:tr>
      <w:tr w14:paraId="621DB3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530" w:type="dxa"/>
            <w:tcBorders>
              <w:tl2br w:val="nil"/>
              <w:tr2bl w:val="nil"/>
            </w:tcBorders>
            <w:vAlign w:val="center"/>
          </w:tcPr>
          <w:p w14:paraId="128EE6CE">
            <w:pPr>
              <w:pStyle w:val="13"/>
              <w:spacing w:after="0"/>
              <w:jc w:val="center"/>
              <w:rPr>
                <w:rFonts w:hint="eastAsia"/>
                <w:spacing w:val="-2"/>
                <w:sz w:val="18"/>
                <w:szCs w:val="18"/>
              </w:rPr>
            </w:pPr>
            <w:r>
              <w:rPr>
                <w:rFonts w:hint="eastAsia"/>
                <w:spacing w:val="-2"/>
                <w:sz w:val="18"/>
                <w:szCs w:val="18"/>
              </w:rPr>
              <w:t>16</w:t>
            </w:r>
          </w:p>
        </w:tc>
        <w:tc>
          <w:tcPr>
            <w:tcW w:w="2804" w:type="dxa"/>
            <w:gridSpan w:val="3"/>
            <w:tcBorders>
              <w:tl2br w:val="nil"/>
              <w:tr2bl w:val="nil"/>
            </w:tcBorders>
            <w:vAlign w:val="center"/>
          </w:tcPr>
          <w:p w14:paraId="0F392689">
            <w:pPr>
              <w:pStyle w:val="13"/>
              <w:spacing w:after="0"/>
              <w:jc w:val="center"/>
              <w:rPr>
                <w:rFonts w:hint="eastAsia"/>
                <w:spacing w:val="-2"/>
                <w:sz w:val="18"/>
                <w:szCs w:val="18"/>
              </w:rPr>
            </w:pPr>
            <w:r>
              <w:rPr>
                <w:rFonts w:hint="eastAsia"/>
                <w:spacing w:val="-2"/>
                <w:sz w:val="18"/>
                <w:szCs w:val="18"/>
              </w:rPr>
              <w:t>能效*</w:t>
            </w:r>
          </w:p>
        </w:tc>
        <w:tc>
          <w:tcPr>
            <w:tcW w:w="2030" w:type="dxa"/>
            <w:tcBorders>
              <w:tl2br w:val="nil"/>
              <w:tr2bl w:val="nil"/>
            </w:tcBorders>
            <w:vAlign w:val="center"/>
          </w:tcPr>
          <w:p w14:paraId="1E880401">
            <w:pPr>
              <w:pStyle w:val="13"/>
              <w:spacing w:after="0"/>
              <w:jc w:val="center"/>
              <w:rPr>
                <w:rFonts w:hint="eastAsia"/>
                <w:spacing w:val="-2"/>
                <w:sz w:val="18"/>
                <w:szCs w:val="18"/>
              </w:rPr>
            </w:pPr>
            <w:r>
              <w:rPr>
                <w:rFonts w:hint="eastAsia"/>
                <w:spacing w:val="-2"/>
                <w:sz w:val="18"/>
                <w:szCs w:val="18"/>
              </w:rPr>
              <w:t>15 t/kg</w:t>
            </w:r>
          </w:p>
        </w:tc>
        <w:tc>
          <w:tcPr>
            <w:tcW w:w="1774" w:type="dxa"/>
            <w:tcBorders>
              <w:tl2br w:val="nil"/>
              <w:tr2bl w:val="nil"/>
            </w:tcBorders>
            <w:vAlign w:val="center"/>
          </w:tcPr>
          <w:p w14:paraId="630E509C">
            <w:pPr>
              <w:pStyle w:val="13"/>
              <w:spacing w:after="0"/>
              <w:jc w:val="center"/>
              <w:rPr>
                <w:rFonts w:hint="eastAsia"/>
                <w:spacing w:val="-2"/>
                <w:sz w:val="18"/>
                <w:szCs w:val="18"/>
              </w:rPr>
            </w:pPr>
            <w:r>
              <w:rPr>
                <w:rFonts w:hint="eastAsia"/>
                <w:spacing w:val="-2"/>
                <w:sz w:val="18"/>
                <w:szCs w:val="18"/>
              </w:rPr>
              <w:t>13 t/kg</w:t>
            </w:r>
          </w:p>
        </w:tc>
        <w:tc>
          <w:tcPr>
            <w:tcW w:w="1776" w:type="dxa"/>
            <w:tcBorders>
              <w:tl2br w:val="nil"/>
              <w:tr2bl w:val="nil"/>
            </w:tcBorders>
            <w:vAlign w:val="center"/>
          </w:tcPr>
          <w:p w14:paraId="37375DFE">
            <w:pPr>
              <w:pStyle w:val="13"/>
              <w:spacing w:after="0"/>
              <w:jc w:val="center"/>
              <w:rPr>
                <w:rFonts w:hint="eastAsia"/>
                <w:spacing w:val="-2"/>
                <w:sz w:val="18"/>
                <w:szCs w:val="18"/>
              </w:rPr>
            </w:pPr>
          </w:p>
        </w:tc>
      </w:tr>
      <w:tr w14:paraId="03F27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5" w:hRule="atLeast"/>
        </w:trPr>
        <w:tc>
          <w:tcPr>
            <w:tcW w:w="8914" w:type="dxa"/>
            <w:gridSpan w:val="7"/>
            <w:tcBorders>
              <w:tl2br w:val="nil"/>
              <w:tr2bl w:val="nil"/>
            </w:tcBorders>
            <w:vAlign w:val="center"/>
          </w:tcPr>
          <w:p w14:paraId="2881504E">
            <w:pPr>
              <w:pStyle w:val="13"/>
              <w:spacing w:after="0"/>
              <w:jc w:val="both"/>
              <w:rPr>
                <w:rFonts w:hint="eastAsia"/>
                <w:sz w:val="18"/>
                <w:szCs w:val="18"/>
                <w:lang w:eastAsia="zh-CN"/>
              </w:rPr>
            </w:pPr>
            <w:r>
              <w:rPr>
                <w:rFonts w:hint="eastAsia"/>
                <w:spacing w:val="-2"/>
                <w:sz w:val="18"/>
                <w:szCs w:val="18"/>
                <w:lang w:eastAsia="zh-CN"/>
              </w:rPr>
              <w:t>注：“* ”的项目为核心评价指标，其他为基本评价指标。</w:t>
            </w:r>
          </w:p>
        </w:tc>
      </w:tr>
    </w:tbl>
    <w:p w14:paraId="6FC961B6">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p>
    <w:p w14:paraId="08AD9497">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2）针对各项评价指标，本标准给出了对应的试验方法。</w:t>
      </w:r>
    </w:p>
    <w:p w14:paraId="062A17F6">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3）对于评价结果，本标准给出了分级结论的评定原则。具体评定原则见表2。</w:t>
      </w:r>
    </w:p>
    <w:p w14:paraId="17E5E733">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表2  质量等级评定原则</w:t>
      </w:r>
    </w:p>
    <w:tbl>
      <w:tblPr>
        <w:tblStyle w:val="14"/>
        <w:tblW w:w="8900" w:type="dxa"/>
        <w:tblInd w:w="1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00"/>
        <w:gridCol w:w="7200"/>
      </w:tblGrid>
      <w:tr w14:paraId="24782A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700" w:type="dxa"/>
            <w:tcBorders>
              <w:tl2br w:val="nil"/>
              <w:tr2bl w:val="nil"/>
            </w:tcBorders>
            <w:vAlign w:val="center"/>
          </w:tcPr>
          <w:p w14:paraId="69E35728">
            <w:pPr>
              <w:pStyle w:val="13"/>
              <w:spacing w:after="0"/>
              <w:jc w:val="center"/>
              <w:rPr>
                <w:rFonts w:hint="eastAsia"/>
                <w:spacing w:val="-2"/>
                <w:sz w:val="18"/>
                <w:szCs w:val="18"/>
              </w:rPr>
            </w:pPr>
            <w:r>
              <w:rPr>
                <w:rFonts w:hint="eastAsia"/>
                <w:spacing w:val="-2"/>
                <w:sz w:val="18"/>
                <w:szCs w:val="18"/>
              </w:rPr>
              <w:t>质量分级</w:t>
            </w:r>
          </w:p>
        </w:tc>
        <w:tc>
          <w:tcPr>
            <w:tcW w:w="7200" w:type="dxa"/>
            <w:tcBorders>
              <w:tl2br w:val="nil"/>
              <w:tr2bl w:val="nil"/>
            </w:tcBorders>
            <w:vAlign w:val="center"/>
          </w:tcPr>
          <w:p w14:paraId="51938C3F">
            <w:pPr>
              <w:pStyle w:val="13"/>
              <w:spacing w:after="0"/>
              <w:jc w:val="center"/>
              <w:rPr>
                <w:rFonts w:hint="eastAsia"/>
                <w:spacing w:val="-2"/>
                <w:sz w:val="18"/>
                <w:szCs w:val="18"/>
              </w:rPr>
            </w:pPr>
            <w:r>
              <w:rPr>
                <w:rFonts w:hint="eastAsia"/>
                <w:spacing w:val="-2"/>
                <w:sz w:val="18"/>
                <w:szCs w:val="18"/>
              </w:rPr>
              <w:t>评定原则</w:t>
            </w:r>
          </w:p>
        </w:tc>
      </w:tr>
      <w:tr w14:paraId="291806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700" w:type="dxa"/>
            <w:tcBorders>
              <w:tl2br w:val="nil"/>
              <w:tr2bl w:val="nil"/>
            </w:tcBorders>
            <w:vAlign w:val="center"/>
          </w:tcPr>
          <w:p w14:paraId="30F9992A">
            <w:pPr>
              <w:pStyle w:val="13"/>
              <w:spacing w:after="0"/>
              <w:jc w:val="center"/>
              <w:rPr>
                <w:rFonts w:hint="eastAsia"/>
                <w:spacing w:val="-2"/>
                <w:sz w:val="18"/>
                <w:szCs w:val="18"/>
              </w:rPr>
            </w:pPr>
            <w:r>
              <w:rPr>
                <w:rFonts w:hint="eastAsia"/>
                <w:spacing w:val="-2"/>
                <w:sz w:val="18"/>
                <w:szCs w:val="18"/>
              </w:rPr>
              <w:t>特等品</w:t>
            </w:r>
          </w:p>
        </w:tc>
        <w:tc>
          <w:tcPr>
            <w:tcW w:w="7200" w:type="dxa"/>
            <w:tcBorders>
              <w:tl2br w:val="nil"/>
              <w:tr2bl w:val="nil"/>
            </w:tcBorders>
            <w:vAlign w:val="center"/>
          </w:tcPr>
          <w:p w14:paraId="7275B7C5">
            <w:pPr>
              <w:pStyle w:val="13"/>
              <w:spacing w:after="0"/>
              <w:jc w:val="center"/>
              <w:rPr>
                <w:rFonts w:hint="eastAsia"/>
                <w:spacing w:val="-2"/>
                <w:sz w:val="18"/>
                <w:szCs w:val="18"/>
                <w:lang w:eastAsia="zh-CN"/>
              </w:rPr>
            </w:pPr>
            <w:r>
              <w:rPr>
                <w:rFonts w:hint="eastAsia"/>
                <w:spacing w:val="-2"/>
                <w:sz w:val="18"/>
                <w:szCs w:val="18"/>
                <w:lang w:eastAsia="zh-CN"/>
              </w:rPr>
              <w:t>至少8 项核心评价指标满足领先水平（AAAAA 级），其他指标满足先进水平（AAAA 级）</w:t>
            </w:r>
          </w:p>
        </w:tc>
      </w:tr>
      <w:tr w14:paraId="38BDA1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700" w:type="dxa"/>
            <w:tcBorders>
              <w:tl2br w:val="nil"/>
              <w:tr2bl w:val="nil"/>
            </w:tcBorders>
            <w:vAlign w:val="center"/>
          </w:tcPr>
          <w:p w14:paraId="19C84CF8">
            <w:pPr>
              <w:pStyle w:val="13"/>
              <w:spacing w:after="0"/>
              <w:jc w:val="center"/>
              <w:rPr>
                <w:rFonts w:hint="eastAsia"/>
                <w:spacing w:val="-2"/>
                <w:sz w:val="18"/>
                <w:szCs w:val="18"/>
              </w:rPr>
            </w:pPr>
            <w:r>
              <w:rPr>
                <w:rFonts w:hint="eastAsia"/>
                <w:spacing w:val="-2"/>
                <w:sz w:val="18"/>
                <w:szCs w:val="18"/>
              </w:rPr>
              <w:t>优等品</w:t>
            </w:r>
          </w:p>
        </w:tc>
        <w:tc>
          <w:tcPr>
            <w:tcW w:w="7200" w:type="dxa"/>
            <w:tcBorders>
              <w:tl2br w:val="nil"/>
              <w:tr2bl w:val="nil"/>
            </w:tcBorders>
            <w:vAlign w:val="center"/>
          </w:tcPr>
          <w:p w14:paraId="343D8FAD">
            <w:pPr>
              <w:pStyle w:val="13"/>
              <w:spacing w:after="0"/>
              <w:jc w:val="center"/>
              <w:rPr>
                <w:rFonts w:hint="eastAsia"/>
                <w:spacing w:val="-2"/>
                <w:sz w:val="18"/>
                <w:szCs w:val="18"/>
                <w:lang w:eastAsia="zh-CN"/>
              </w:rPr>
            </w:pPr>
            <w:r>
              <w:rPr>
                <w:rFonts w:hint="eastAsia"/>
                <w:spacing w:val="-2"/>
                <w:sz w:val="18"/>
                <w:szCs w:val="18"/>
                <w:lang w:eastAsia="zh-CN"/>
              </w:rPr>
              <w:t>至少 10 项核心评价指标满足先进水平（AAAA 级），其他指标满足基础水平 (AAA 级)</w:t>
            </w:r>
          </w:p>
        </w:tc>
      </w:tr>
      <w:tr w14:paraId="51067A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700" w:type="dxa"/>
            <w:tcBorders>
              <w:tl2br w:val="nil"/>
              <w:tr2bl w:val="nil"/>
            </w:tcBorders>
            <w:vAlign w:val="center"/>
          </w:tcPr>
          <w:p w14:paraId="5DEBD040">
            <w:pPr>
              <w:pStyle w:val="13"/>
              <w:spacing w:after="0"/>
              <w:jc w:val="center"/>
              <w:rPr>
                <w:rFonts w:hint="eastAsia"/>
                <w:spacing w:val="-2"/>
                <w:sz w:val="18"/>
                <w:szCs w:val="18"/>
              </w:rPr>
            </w:pPr>
            <w:r>
              <w:rPr>
                <w:rFonts w:hint="eastAsia"/>
                <w:spacing w:val="-2"/>
                <w:sz w:val="18"/>
                <w:szCs w:val="18"/>
              </w:rPr>
              <w:t>合格品</w:t>
            </w:r>
          </w:p>
        </w:tc>
        <w:tc>
          <w:tcPr>
            <w:tcW w:w="7200" w:type="dxa"/>
            <w:tcBorders>
              <w:tl2br w:val="nil"/>
              <w:tr2bl w:val="nil"/>
            </w:tcBorders>
            <w:vAlign w:val="center"/>
          </w:tcPr>
          <w:p w14:paraId="3AA11745">
            <w:pPr>
              <w:pStyle w:val="13"/>
              <w:spacing w:after="0"/>
              <w:jc w:val="center"/>
              <w:rPr>
                <w:rFonts w:hint="eastAsia"/>
                <w:spacing w:val="-2"/>
                <w:sz w:val="18"/>
                <w:szCs w:val="18"/>
                <w:lang w:eastAsia="zh-CN"/>
              </w:rPr>
            </w:pPr>
            <w:r>
              <w:rPr>
                <w:rFonts w:hint="eastAsia"/>
                <w:spacing w:val="-2"/>
                <w:sz w:val="18"/>
                <w:szCs w:val="18"/>
                <w:lang w:eastAsia="zh-CN"/>
              </w:rPr>
              <w:t>全部满足基础水平 (AAA 级)及以上</w:t>
            </w:r>
          </w:p>
        </w:tc>
      </w:tr>
    </w:tbl>
    <w:p w14:paraId="71E950AE">
      <w:pPr>
        <w:keepNext w:val="0"/>
        <w:keepLines w:val="0"/>
        <w:pageBreakBefore w:val="0"/>
        <w:widowControl w:val="0"/>
        <w:numPr>
          <w:ilvl w:val="0"/>
          <w:numId w:val="0"/>
        </w:numPr>
        <w:kinsoku/>
        <w:wordWrap/>
        <w:overflowPunct/>
        <w:topLinePunct w:val="0"/>
        <w:autoSpaceDE/>
        <w:autoSpaceDN/>
        <w:bidi w:val="0"/>
        <w:adjustRightInd/>
        <w:snapToGrid/>
        <w:spacing w:before="181" w:beforeLines="50" w:after="0" w:line="360" w:lineRule="auto"/>
        <w:ind w:leftChars="0"/>
        <w:jc w:val="both"/>
        <w:textAlignment w:val="auto"/>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4、解决的主要问题</w:t>
      </w:r>
    </w:p>
    <w:p w14:paraId="14463AE3">
      <w:pPr>
        <w:widowControl w:val="0"/>
        <w:numPr>
          <w:ilvl w:val="0"/>
          <w:numId w:val="0"/>
        </w:numPr>
        <w:adjustRightInd/>
        <w:snapToGrid/>
        <w:spacing w:after="0" w:line="360" w:lineRule="auto"/>
        <w:ind w:leftChars="0" w:firstLine="560"/>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液压挖掘机市场缺乏高质量产品的评价依据，本标准为该产品质量等级提供了评价指标和评定原则，为主管机构和企业遴选高质量产品提供参考。</w:t>
      </w:r>
    </w:p>
    <w:p w14:paraId="0E5DF512">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与国家标准或行业标准对比情况</w:t>
      </w:r>
    </w:p>
    <w:p w14:paraId="1DC8D3B1">
      <w:pPr>
        <w:widowControl w:val="0"/>
        <w:adjustRightInd/>
        <w:snapToGrid/>
        <w:spacing w:after="0" w:line="360" w:lineRule="auto"/>
        <w:ind w:firstLine="560" w:firstLineChars="200"/>
        <w:jc w:val="both"/>
        <w:rPr>
          <w:rFonts w:hint="default"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该标准是在没有国家标准和行业标准的情况下修订的。</w:t>
      </w:r>
    </w:p>
    <w:p w14:paraId="2BCAF580">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主要试验（或验证）情况分析</w:t>
      </w:r>
    </w:p>
    <w:p w14:paraId="7E8054C2">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本标准在起草</w:t>
      </w:r>
      <w:r>
        <w:rPr>
          <w:rFonts w:hint="eastAsia" w:ascii="宋体" w:hAnsi="宋体" w:eastAsia="宋体" w:cs="Times New Roman"/>
          <w:kern w:val="2"/>
          <w:sz w:val="28"/>
          <w:szCs w:val="28"/>
          <w:lang w:val="en-US" w:eastAsia="zh-CN"/>
        </w:rPr>
        <w:t>修订</w:t>
      </w:r>
      <w:r>
        <w:rPr>
          <w:rFonts w:hint="eastAsia" w:ascii="宋体" w:hAnsi="宋体" w:eastAsia="宋体" w:cs="Times New Roman"/>
          <w:kern w:val="2"/>
          <w:sz w:val="28"/>
          <w:szCs w:val="28"/>
        </w:rPr>
        <w:t>中，广泛调査我国</w:t>
      </w:r>
      <w:r>
        <w:rPr>
          <w:rFonts w:hint="eastAsia" w:ascii="宋体" w:hAnsi="宋体" w:eastAsia="宋体" w:cs="Times New Roman"/>
          <w:kern w:val="2"/>
          <w:sz w:val="28"/>
          <w:szCs w:val="28"/>
          <w:lang w:val="en-US" w:eastAsia="zh-CN"/>
        </w:rPr>
        <w:t>液压挖掘机</w:t>
      </w:r>
      <w:r>
        <w:rPr>
          <w:rFonts w:hint="eastAsia" w:ascii="宋体" w:hAnsi="宋体" w:eastAsia="宋体" w:cs="Times New Roman"/>
          <w:kern w:val="2"/>
          <w:sz w:val="28"/>
          <w:szCs w:val="28"/>
        </w:rPr>
        <w:t>行业生产厂家的产品情况，在</w:t>
      </w:r>
      <w:r>
        <w:rPr>
          <w:rFonts w:hint="eastAsia" w:ascii="宋体" w:hAnsi="宋体" w:eastAsia="宋体" w:cs="Times New Roman"/>
          <w:kern w:val="2"/>
          <w:sz w:val="28"/>
          <w:szCs w:val="28"/>
          <w:lang w:val="en-US" w:eastAsia="zh-CN"/>
        </w:rPr>
        <w:t>2019版标准</w:t>
      </w:r>
      <w:r>
        <w:rPr>
          <w:rFonts w:hint="eastAsia" w:ascii="宋体" w:hAnsi="宋体" w:eastAsia="宋体" w:cs="Times New Roman"/>
          <w:kern w:val="2"/>
          <w:sz w:val="28"/>
          <w:szCs w:val="28"/>
        </w:rPr>
        <w:t>的基础上，结合</w:t>
      </w:r>
      <w:r>
        <w:rPr>
          <w:rFonts w:hint="eastAsia" w:ascii="宋体" w:hAnsi="宋体" w:eastAsia="宋体" w:cs="Times New Roman"/>
          <w:kern w:val="2"/>
          <w:sz w:val="28"/>
          <w:szCs w:val="28"/>
          <w:lang w:val="en-US" w:eastAsia="zh-CN"/>
        </w:rPr>
        <w:t>当前液压挖掘机</w:t>
      </w:r>
      <w:r>
        <w:rPr>
          <w:rFonts w:hint="eastAsia" w:ascii="宋体" w:hAnsi="宋体" w:eastAsia="宋体" w:cs="Times New Roman"/>
          <w:kern w:val="2"/>
          <w:sz w:val="28"/>
          <w:szCs w:val="28"/>
        </w:rPr>
        <w:t>的技术特征、新工艺、新技术的应用，将行业最为关注的重要指标纳入标准中。行业相关厂家和第三方检测机构对本标准规定的</w:t>
      </w:r>
      <w:r>
        <w:rPr>
          <w:rFonts w:hint="eastAsia" w:ascii="宋体" w:hAnsi="宋体" w:eastAsia="宋体" w:cs="Times New Roman"/>
          <w:kern w:val="2"/>
          <w:sz w:val="28"/>
          <w:szCs w:val="28"/>
          <w:lang w:val="en-US" w:eastAsia="zh-CN"/>
        </w:rPr>
        <w:t>液压挖掘机</w:t>
      </w:r>
      <w:r>
        <w:rPr>
          <w:rFonts w:hint="eastAsia" w:ascii="宋体" w:hAnsi="宋体" w:eastAsia="宋体" w:cs="Times New Roman"/>
          <w:kern w:val="2"/>
          <w:sz w:val="28"/>
          <w:szCs w:val="28"/>
        </w:rPr>
        <w:t>的各项指标进行</w:t>
      </w:r>
      <w:r>
        <w:rPr>
          <w:rFonts w:hint="eastAsia" w:ascii="宋体" w:hAnsi="宋体" w:eastAsia="宋体" w:cs="Times New Roman"/>
          <w:kern w:val="2"/>
          <w:sz w:val="28"/>
          <w:szCs w:val="28"/>
          <w:lang w:val="en-US" w:eastAsia="zh-CN"/>
        </w:rPr>
        <w:t>过</w:t>
      </w:r>
      <w:r>
        <w:rPr>
          <w:rFonts w:hint="eastAsia" w:ascii="宋体" w:hAnsi="宋体" w:eastAsia="宋体" w:cs="Times New Roman"/>
          <w:kern w:val="2"/>
          <w:sz w:val="28"/>
          <w:szCs w:val="28"/>
        </w:rPr>
        <w:t>大量的试验验证。本标准结合当前行业状况和新工艺、新技术的应用制定而成。</w:t>
      </w:r>
    </w:p>
    <w:p w14:paraId="6E11F94D">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标准中涉及专利的情况</w:t>
      </w:r>
    </w:p>
    <w:p w14:paraId="458F78B3">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本标准不涉及专利。</w:t>
      </w:r>
    </w:p>
    <w:p w14:paraId="2C16431B">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标准推广应用论证和预期达到的经济效果</w:t>
      </w:r>
    </w:p>
    <w:p w14:paraId="6D193D52">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sz w:val="28"/>
          <w:szCs w:val="28"/>
        </w:rPr>
        <w:t>本标准能更准确地评价</w:t>
      </w:r>
      <w:r>
        <w:rPr>
          <w:rFonts w:hint="eastAsia" w:ascii="宋体" w:hAnsi="宋体" w:eastAsia="宋体"/>
          <w:sz w:val="28"/>
          <w:szCs w:val="28"/>
          <w:lang w:val="en-US" w:eastAsia="zh-CN"/>
        </w:rPr>
        <w:t>特等、优等液压</w:t>
      </w:r>
      <w:r>
        <w:rPr>
          <w:rFonts w:hint="eastAsia" w:ascii="宋体" w:hAnsi="宋体" w:eastAsia="宋体"/>
          <w:sz w:val="28"/>
          <w:szCs w:val="28"/>
        </w:rPr>
        <w:t>挖掘机的产品质量，提升</w:t>
      </w:r>
      <w:r>
        <w:rPr>
          <w:rFonts w:hint="eastAsia" w:ascii="宋体" w:hAnsi="宋体" w:eastAsia="宋体" w:cs="Times New Roman"/>
          <w:kern w:val="2"/>
          <w:sz w:val="28"/>
          <w:szCs w:val="28"/>
        </w:rPr>
        <w:t>挖掘机质量水平，对推动工程机械行业健康发展具有重要意义。</w:t>
      </w:r>
    </w:p>
    <w:p w14:paraId="7C525CCF">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标准采用国际标准和国外先进标准及对比情况</w:t>
      </w:r>
    </w:p>
    <w:p w14:paraId="7EBF724C">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目前，未查到相关的标准。</w:t>
      </w:r>
    </w:p>
    <w:p w14:paraId="1190CC9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与现行相关法律、法规、规章及相关标准，特别是强制性标准的协调性</w:t>
      </w:r>
    </w:p>
    <w:p w14:paraId="7B067860">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本标准</w:t>
      </w:r>
      <w:r>
        <w:rPr>
          <w:rFonts w:hint="eastAsia" w:ascii="宋体" w:hAnsi="宋体" w:eastAsia="宋体"/>
          <w:sz w:val="28"/>
          <w:szCs w:val="28"/>
          <w:lang w:val="en-US" w:eastAsia="zh-CN"/>
        </w:rPr>
        <w:t>与</w:t>
      </w:r>
      <w:r>
        <w:rPr>
          <w:rFonts w:hint="eastAsia" w:ascii="宋体" w:hAnsi="宋体" w:eastAsia="宋体"/>
          <w:sz w:val="28"/>
          <w:szCs w:val="28"/>
        </w:rPr>
        <w:t>现行相关法律、法规、规章及相关标准</w:t>
      </w:r>
      <w:r>
        <w:rPr>
          <w:rFonts w:hint="eastAsia" w:ascii="宋体" w:hAnsi="宋体" w:eastAsia="宋体"/>
          <w:sz w:val="28"/>
          <w:szCs w:val="28"/>
          <w:lang w:val="en-US" w:eastAsia="zh-CN"/>
        </w:rPr>
        <w:t>无冲突，相关要求不低于相关强制性标准的要求</w:t>
      </w:r>
      <w:r>
        <w:rPr>
          <w:rFonts w:hint="eastAsia" w:ascii="宋体" w:hAnsi="宋体" w:eastAsia="宋体"/>
          <w:sz w:val="28"/>
          <w:szCs w:val="28"/>
        </w:rPr>
        <w:t>。</w:t>
      </w:r>
    </w:p>
    <w:p w14:paraId="4244F6C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重大分歧意见的处理经过和依据；</w:t>
      </w:r>
    </w:p>
    <w:p w14:paraId="6ABD2775">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无重大分歧意见。</w:t>
      </w:r>
    </w:p>
    <w:p w14:paraId="54F30279">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其他应予说明的事项</w:t>
      </w:r>
    </w:p>
    <w:p w14:paraId="09B2BF77">
      <w:pPr>
        <w:adjustRightInd/>
        <w:snapToGrid/>
        <w:spacing w:after="0" w:line="360" w:lineRule="auto"/>
        <w:ind w:firstLine="560" w:firstLineChars="200"/>
        <w:jc w:val="both"/>
        <w:rPr>
          <w:rFonts w:hint="eastAsia" w:ascii="宋体" w:hAnsi="宋体" w:eastAsia="宋体" w:cs="Times New Roman"/>
          <w:bCs/>
          <w:kern w:val="2"/>
          <w:sz w:val="28"/>
          <w:szCs w:val="28"/>
        </w:rPr>
      </w:pPr>
      <w:r>
        <w:rPr>
          <w:rFonts w:hint="eastAsia" w:ascii="宋体" w:hAnsi="宋体" w:eastAsia="宋体" w:cs="Times New Roman"/>
          <w:bCs/>
          <w:kern w:val="2"/>
          <w:sz w:val="28"/>
          <w:szCs w:val="28"/>
        </w:rPr>
        <w:t xml:space="preserve">无。                 </w:t>
      </w:r>
    </w:p>
    <w:p w14:paraId="2967F41A">
      <w:pPr>
        <w:adjustRightInd/>
        <w:snapToGrid/>
        <w:spacing w:after="0" w:line="360" w:lineRule="auto"/>
        <w:ind w:firstLine="562" w:firstLineChars="200"/>
        <w:jc w:val="both"/>
        <w:rPr>
          <w:rFonts w:hint="eastAsia" w:ascii="宋体" w:hAnsi="宋体" w:eastAsia="宋体" w:cs="Times New Roman"/>
          <w:b/>
          <w:kern w:val="2"/>
          <w:sz w:val="28"/>
          <w:szCs w:val="28"/>
        </w:rPr>
      </w:pPr>
    </w:p>
    <w:p w14:paraId="140C41F2">
      <w:pPr>
        <w:wordWrap w:val="0"/>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w:t>
      </w:r>
    </w:p>
    <w:p w14:paraId="354A92BE">
      <w:pPr>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2025年</w:t>
      </w:r>
      <w:r>
        <w:rPr>
          <w:rFonts w:hint="eastAsia" w:ascii="宋体" w:hAnsi="宋体" w:eastAsia="宋体"/>
          <w:sz w:val="28"/>
          <w:szCs w:val="28"/>
          <w:lang w:val="en-US" w:eastAsia="zh-CN"/>
        </w:rPr>
        <w:t>9</w:t>
      </w:r>
      <w:r>
        <w:rPr>
          <w:rFonts w:hint="eastAsia" w:ascii="宋体" w:hAnsi="宋体" w:eastAsia="宋体"/>
          <w:sz w:val="28"/>
          <w:szCs w:val="28"/>
        </w:rPr>
        <w:t>月</w:t>
      </w:r>
      <w:r>
        <w:rPr>
          <w:rFonts w:hint="eastAsia" w:ascii="宋体" w:hAnsi="宋体" w:eastAsia="宋体"/>
          <w:sz w:val="28"/>
          <w:szCs w:val="28"/>
          <w:lang w:val="en-US" w:eastAsia="zh-CN"/>
        </w:rPr>
        <w:t>7</w:t>
      </w:r>
      <w:r>
        <w:rPr>
          <w:rFonts w:hint="eastAsia" w:ascii="宋体" w:hAnsi="宋体" w:eastAsia="宋体"/>
          <w:sz w:val="28"/>
          <w:szCs w:val="28"/>
        </w:rPr>
        <w:t>日</w:t>
      </w:r>
    </w:p>
    <w:sectPr>
      <w:pgSz w:w="11906" w:h="16838"/>
      <w:pgMar w:top="1440" w:right="1520" w:bottom="1440" w:left="1746"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16EE2"/>
    <w:multiLevelType w:val="singleLevel"/>
    <w:tmpl w:val="C3116EE2"/>
    <w:lvl w:ilvl="0" w:tentative="0">
      <w:start w:val="1"/>
      <w:numFmt w:val="decimal"/>
      <w:suff w:val="nothing"/>
      <w:lvlText w:val="%1、"/>
      <w:lvlJc w:val="left"/>
    </w:lvl>
  </w:abstractNum>
  <w:abstractNum w:abstractNumId="1">
    <w:nsid w:val="00B66C50"/>
    <w:multiLevelType w:val="multilevel"/>
    <w:tmpl w:val="00B66C50"/>
    <w:lvl w:ilvl="0" w:tentative="0">
      <w:start w:val="1"/>
      <w:numFmt w:val="chineseCountingThousand"/>
      <w:suff w:val="nothing"/>
      <w:lvlText w:val="%1、"/>
      <w:lvlJc w:val="left"/>
      <w:pPr>
        <w:ind w:left="0" w:firstLine="0"/>
      </w:pPr>
      <w:rPr>
        <w:rFonts w:hint="eastAsia"/>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1CE10D"/>
    <w:multiLevelType w:val="singleLevel"/>
    <w:tmpl w:val="141CE10D"/>
    <w:lvl w:ilvl="0" w:tentative="0">
      <w:start w:val="1"/>
      <w:numFmt w:val="lowerLetter"/>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zM2I0ZmI3YWYwMDExNTk3YTIwZGNiMTQxNDUxNzMifQ=="/>
  </w:docVars>
  <w:rsids>
    <w:rsidRoot w:val="00D31D50"/>
    <w:rsid w:val="00012CCD"/>
    <w:rsid w:val="00041978"/>
    <w:rsid w:val="00055D7A"/>
    <w:rsid w:val="00065063"/>
    <w:rsid w:val="00066343"/>
    <w:rsid w:val="000742CA"/>
    <w:rsid w:val="000B525F"/>
    <w:rsid w:val="000F4622"/>
    <w:rsid w:val="00106FCA"/>
    <w:rsid w:val="00110045"/>
    <w:rsid w:val="0017696D"/>
    <w:rsid w:val="001C2AE5"/>
    <w:rsid w:val="0021397B"/>
    <w:rsid w:val="00231074"/>
    <w:rsid w:val="00237DAE"/>
    <w:rsid w:val="00254972"/>
    <w:rsid w:val="0027594A"/>
    <w:rsid w:val="002976CB"/>
    <w:rsid w:val="002B3754"/>
    <w:rsid w:val="002D4292"/>
    <w:rsid w:val="00301245"/>
    <w:rsid w:val="00307E5B"/>
    <w:rsid w:val="00323B43"/>
    <w:rsid w:val="00344771"/>
    <w:rsid w:val="003577AA"/>
    <w:rsid w:val="003722A7"/>
    <w:rsid w:val="003748CF"/>
    <w:rsid w:val="003A1CA4"/>
    <w:rsid w:val="003A6CDC"/>
    <w:rsid w:val="003B4A3C"/>
    <w:rsid w:val="003D37D8"/>
    <w:rsid w:val="00426133"/>
    <w:rsid w:val="004324E4"/>
    <w:rsid w:val="004358AB"/>
    <w:rsid w:val="00460D9C"/>
    <w:rsid w:val="004A36E6"/>
    <w:rsid w:val="004C6EBC"/>
    <w:rsid w:val="004D32F5"/>
    <w:rsid w:val="004D4AE4"/>
    <w:rsid w:val="004E7F1C"/>
    <w:rsid w:val="00572F9F"/>
    <w:rsid w:val="005B33D4"/>
    <w:rsid w:val="005D2260"/>
    <w:rsid w:val="005D3919"/>
    <w:rsid w:val="00615FDE"/>
    <w:rsid w:val="006515F4"/>
    <w:rsid w:val="0066128A"/>
    <w:rsid w:val="00661F73"/>
    <w:rsid w:val="006711DF"/>
    <w:rsid w:val="00682A21"/>
    <w:rsid w:val="00685763"/>
    <w:rsid w:val="00687D36"/>
    <w:rsid w:val="006921E4"/>
    <w:rsid w:val="006C3152"/>
    <w:rsid w:val="006D1874"/>
    <w:rsid w:val="006D1BEC"/>
    <w:rsid w:val="006D20B8"/>
    <w:rsid w:val="006D4BD6"/>
    <w:rsid w:val="0070043B"/>
    <w:rsid w:val="00713FE0"/>
    <w:rsid w:val="00725126"/>
    <w:rsid w:val="00725C81"/>
    <w:rsid w:val="00742FDF"/>
    <w:rsid w:val="007A1B23"/>
    <w:rsid w:val="007A4B50"/>
    <w:rsid w:val="007E0EEB"/>
    <w:rsid w:val="007E4E80"/>
    <w:rsid w:val="007F14B5"/>
    <w:rsid w:val="007F69B9"/>
    <w:rsid w:val="00836358"/>
    <w:rsid w:val="0086470E"/>
    <w:rsid w:val="008B0726"/>
    <w:rsid w:val="008B1B8F"/>
    <w:rsid w:val="008B7726"/>
    <w:rsid w:val="008C4089"/>
    <w:rsid w:val="008D0452"/>
    <w:rsid w:val="008E21E9"/>
    <w:rsid w:val="008F0EC9"/>
    <w:rsid w:val="00903B48"/>
    <w:rsid w:val="00916D06"/>
    <w:rsid w:val="009436AA"/>
    <w:rsid w:val="00946EF4"/>
    <w:rsid w:val="00947497"/>
    <w:rsid w:val="009A3243"/>
    <w:rsid w:val="009B1957"/>
    <w:rsid w:val="009E2189"/>
    <w:rsid w:val="00A01B2C"/>
    <w:rsid w:val="00A02682"/>
    <w:rsid w:val="00A27BF6"/>
    <w:rsid w:val="00A60521"/>
    <w:rsid w:val="00AA038E"/>
    <w:rsid w:val="00AB4B9D"/>
    <w:rsid w:val="00AC29E4"/>
    <w:rsid w:val="00AE25A8"/>
    <w:rsid w:val="00AF0B21"/>
    <w:rsid w:val="00B31DC6"/>
    <w:rsid w:val="00B83589"/>
    <w:rsid w:val="00B92D24"/>
    <w:rsid w:val="00B94316"/>
    <w:rsid w:val="00BC104F"/>
    <w:rsid w:val="00BD287A"/>
    <w:rsid w:val="00BD5DDF"/>
    <w:rsid w:val="00BE4FF0"/>
    <w:rsid w:val="00BF379F"/>
    <w:rsid w:val="00C27971"/>
    <w:rsid w:val="00C372B3"/>
    <w:rsid w:val="00C50EF3"/>
    <w:rsid w:val="00C8162B"/>
    <w:rsid w:val="00C92834"/>
    <w:rsid w:val="00CC32AE"/>
    <w:rsid w:val="00CC4564"/>
    <w:rsid w:val="00CD1BEA"/>
    <w:rsid w:val="00CF3676"/>
    <w:rsid w:val="00CF3BDC"/>
    <w:rsid w:val="00D23851"/>
    <w:rsid w:val="00D31D50"/>
    <w:rsid w:val="00D35098"/>
    <w:rsid w:val="00D42903"/>
    <w:rsid w:val="00D441E3"/>
    <w:rsid w:val="00D5391F"/>
    <w:rsid w:val="00D563CE"/>
    <w:rsid w:val="00D6444E"/>
    <w:rsid w:val="00D73044"/>
    <w:rsid w:val="00D84257"/>
    <w:rsid w:val="00DB21EB"/>
    <w:rsid w:val="00DC425E"/>
    <w:rsid w:val="00DC4A0D"/>
    <w:rsid w:val="00DF0E57"/>
    <w:rsid w:val="00DF3C72"/>
    <w:rsid w:val="00E23B09"/>
    <w:rsid w:val="00E30069"/>
    <w:rsid w:val="00E53FD9"/>
    <w:rsid w:val="00E54FD5"/>
    <w:rsid w:val="00E65BD8"/>
    <w:rsid w:val="00E93EEE"/>
    <w:rsid w:val="00EB422B"/>
    <w:rsid w:val="00EB42D5"/>
    <w:rsid w:val="00EC4252"/>
    <w:rsid w:val="00EC4AA6"/>
    <w:rsid w:val="00EE2DC2"/>
    <w:rsid w:val="00EF46D0"/>
    <w:rsid w:val="00EF7ECD"/>
    <w:rsid w:val="00F2022F"/>
    <w:rsid w:val="00F22ACF"/>
    <w:rsid w:val="00F27441"/>
    <w:rsid w:val="00F45669"/>
    <w:rsid w:val="00F50766"/>
    <w:rsid w:val="00F672E3"/>
    <w:rsid w:val="00F72472"/>
    <w:rsid w:val="00F74832"/>
    <w:rsid w:val="00F83EDD"/>
    <w:rsid w:val="00F84243"/>
    <w:rsid w:val="00F850A6"/>
    <w:rsid w:val="00FA4D4A"/>
    <w:rsid w:val="013860ED"/>
    <w:rsid w:val="02CE773E"/>
    <w:rsid w:val="045B182C"/>
    <w:rsid w:val="060B0977"/>
    <w:rsid w:val="06B867C4"/>
    <w:rsid w:val="071B4CD6"/>
    <w:rsid w:val="097F55EA"/>
    <w:rsid w:val="0C7927C4"/>
    <w:rsid w:val="0CE64BDA"/>
    <w:rsid w:val="0D0338A7"/>
    <w:rsid w:val="0D112DA3"/>
    <w:rsid w:val="0DF14CF6"/>
    <w:rsid w:val="0EC327DF"/>
    <w:rsid w:val="10837B03"/>
    <w:rsid w:val="10C06C14"/>
    <w:rsid w:val="1135053A"/>
    <w:rsid w:val="11F07FC5"/>
    <w:rsid w:val="12015736"/>
    <w:rsid w:val="12365173"/>
    <w:rsid w:val="1342108A"/>
    <w:rsid w:val="13620614"/>
    <w:rsid w:val="171B2843"/>
    <w:rsid w:val="188A0377"/>
    <w:rsid w:val="18C96881"/>
    <w:rsid w:val="18F40861"/>
    <w:rsid w:val="1A846C1D"/>
    <w:rsid w:val="1BBF1D0A"/>
    <w:rsid w:val="1BE35D57"/>
    <w:rsid w:val="1C45305D"/>
    <w:rsid w:val="1EF91AB1"/>
    <w:rsid w:val="201C12BD"/>
    <w:rsid w:val="206062BD"/>
    <w:rsid w:val="21252CB1"/>
    <w:rsid w:val="21276DD2"/>
    <w:rsid w:val="228E14B7"/>
    <w:rsid w:val="2290084E"/>
    <w:rsid w:val="22DD3655"/>
    <w:rsid w:val="22FD59B9"/>
    <w:rsid w:val="2366509F"/>
    <w:rsid w:val="23730197"/>
    <w:rsid w:val="24252D20"/>
    <w:rsid w:val="26ED37EA"/>
    <w:rsid w:val="27343A60"/>
    <w:rsid w:val="28434C83"/>
    <w:rsid w:val="28E219C5"/>
    <w:rsid w:val="294A15B9"/>
    <w:rsid w:val="2EE92FA6"/>
    <w:rsid w:val="3005129B"/>
    <w:rsid w:val="30D5792D"/>
    <w:rsid w:val="31BF4469"/>
    <w:rsid w:val="31D744B0"/>
    <w:rsid w:val="323B658D"/>
    <w:rsid w:val="339D55D7"/>
    <w:rsid w:val="344057F2"/>
    <w:rsid w:val="345D4148"/>
    <w:rsid w:val="34F36D08"/>
    <w:rsid w:val="356D5E3F"/>
    <w:rsid w:val="359A307E"/>
    <w:rsid w:val="38822138"/>
    <w:rsid w:val="39F2758E"/>
    <w:rsid w:val="3A262E5C"/>
    <w:rsid w:val="3A8B5F54"/>
    <w:rsid w:val="3B1831A5"/>
    <w:rsid w:val="3C9D0BAA"/>
    <w:rsid w:val="3FC4377B"/>
    <w:rsid w:val="40C24CEF"/>
    <w:rsid w:val="41C01777"/>
    <w:rsid w:val="42562465"/>
    <w:rsid w:val="42F4129B"/>
    <w:rsid w:val="44F4527C"/>
    <w:rsid w:val="45116CEE"/>
    <w:rsid w:val="4867189B"/>
    <w:rsid w:val="4B69167A"/>
    <w:rsid w:val="4FF727BF"/>
    <w:rsid w:val="50280057"/>
    <w:rsid w:val="503E1327"/>
    <w:rsid w:val="5068400F"/>
    <w:rsid w:val="51F03494"/>
    <w:rsid w:val="5244074B"/>
    <w:rsid w:val="526A01B2"/>
    <w:rsid w:val="52B82A6D"/>
    <w:rsid w:val="52EF0612"/>
    <w:rsid w:val="560420A1"/>
    <w:rsid w:val="56C13637"/>
    <w:rsid w:val="57CA16F3"/>
    <w:rsid w:val="5891467E"/>
    <w:rsid w:val="58DD1074"/>
    <w:rsid w:val="59626547"/>
    <w:rsid w:val="5BCB12CF"/>
    <w:rsid w:val="5BDE6B6A"/>
    <w:rsid w:val="5DBD6CB8"/>
    <w:rsid w:val="5E464238"/>
    <w:rsid w:val="5FDA0F1A"/>
    <w:rsid w:val="629237A5"/>
    <w:rsid w:val="635C1D12"/>
    <w:rsid w:val="63B219B9"/>
    <w:rsid w:val="63FA3FD5"/>
    <w:rsid w:val="65743B50"/>
    <w:rsid w:val="66B05019"/>
    <w:rsid w:val="6A667059"/>
    <w:rsid w:val="6A774196"/>
    <w:rsid w:val="6AF179CC"/>
    <w:rsid w:val="6B5B0B88"/>
    <w:rsid w:val="6E39748C"/>
    <w:rsid w:val="6E5C0E9F"/>
    <w:rsid w:val="71B46B0B"/>
    <w:rsid w:val="75634EDF"/>
    <w:rsid w:val="76570CDD"/>
    <w:rsid w:val="779260BA"/>
    <w:rsid w:val="7ADE40A4"/>
    <w:rsid w:val="7E6A7391"/>
    <w:rsid w:val="7F266502"/>
    <w:rsid w:val="7FAB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eastAsia="en-US"/>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页眉 字符"/>
    <w:basedOn w:val="8"/>
    <w:link w:val="4"/>
    <w:qFormat/>
    <w:uiPriority w:val="99"/>
    <w:rPr>
      <w:rFonts w:ascii="Tahoma" w:hAnsi="Tahoma"/>
      <w:sz w:val="18"/>
      <w:szCs w:val="18"/>
    </w:rPr>
  </w:style>
  <w:style w:type="character" w:customStyle="1" w:styleId="10">
    <w:name w:val="页脚 字符"/>
    <w:basedOn w:val="8"/>
    <w:link w:val="3"/>
    <w:qFormat/>
    <w:uiPriority w:val="99"/>
    <w:rPr>
      <w:rFonts w:ascii="Tahoma" w:hAnsi="Tahoma"/>
      <w:sz w:val="18"/>
      <w:szCs w:val="18"/>
    </w:rPr>
  </w:style>
  <w:style w:type="paragraph" w:styleId="11">
    <w:name w:val="List Paragraph"/>
    <w:basedOn w:val="1"/>
    <w:qFormat/>
    <w:uiPriority w:val="34"/>
    <w:pPr>
      <w:ind w:firstLine="420" w:firstLineChars="200"/>
    </w:pPr>
  </w:style>
  <w:style w:type="paragraph" w:customStyle="1" w:styleId="1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
    <w:name w:val="Table Text"/>
    <w:basedOn w:val="1"/>
    <w:semiHidden/>
    <w:qFormat/>
    <w:uiPriority w:val="0"/>
    <w:rPr>
      <w:rFonts w:ascii="宋体" w:hAnsi="宋体" w:eastAsia="宋体" w:cs="宋体"/>
      <w:sz w:val="20"/>
      <w:szCs w:val="20"/>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321EAD-20F3-49EE-A99D-841E61CF62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2734</Words>
  <Characters>3009</Characters>
  <Lines>131</Lines>
  <Paragraphs>172</Paragraphs>
  <TotalTime>7</TotalTime>
  <ScaleCrop>false</ScaleCrop>
  <LinksUpToDate>false</LinksUpToDate>
  <CharactersWithSpaces>3128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2025-08-28T10:03:00Z</dcterms:created>
  <dc:creator>Administrator</dc:creator>
  <cp:lastModifiedBy>黄晨</cp:lastModifiedBy>
  <dcterms:modified xsi:type="dcterms:W3CDTF">2025-09-14T09:25:19Z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B9068A7CA79F411482238C8C9950A776_13</vt:lpwstr>
  </property>
  <property fmtid="{D5CDD505-2E9C-101B-9397-08002B2CF9AE}" pid="4" name="KSOTemplateDocerSaveRecord">
    <vt:lpwstr>eyJoZGlkIjoiYTA5MWRiOThmMWU3ZGVlZDRjYmI4MDcwMjRlYWVkNjciLCJ1c2VySWQiOiIyOTcxODY4MzgifQ==</vt:lpwstr>
  </property>
</Properties>
</file>